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1C66F">
      <w:pPr>
        <w:keepNext w:val="0"/>
        <w:keepLines w:val="0"/>
        <w:widowControl/>
        <w:suppressLineNumbers w:val="0"/>
        <w:shd w:val="clear" w:color="auto" w:fill="FFFFFF"/>
        <w:spacing w:before="100" w:beforeAutospacing="1" w:after="100" w:afterAutospacing="1" w:line="360" w:lineRule="auto"/>
        <w:ind w:left="0" w:right="30" w:firstLine="420"/>
        <w:jc w:val="center"/>
      </w:pPr>
      <w:r>
        <w:rPr>
          <w:rFonts w:hint="eastAsia" w:ascii="黑体" w:hAnsi="黑体" w:eastAsia="黑体" w:cs="黑体"/>
          <w:b/>
          <w:bCs w:val="0"/>
          <w:sz w:val="32"/>
          <w:szCs w:val="32"/>
          <w:lang w:eastAsia="zh-CN"/>
        </w:rPr>
        <w:t>《护理心理学》课程思政案例</w:t>
      </w:r>
    </w:p>
    <w:tbl>
      <w:tblPr>
        <w:tblStyle w:val="2"/>
        <w:tblW w:w="10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1545"/>
        <w:gridCol w:w="4787"/>
        <w:gridCol w:w="1258"/>
        <w:gridCol w:w="1875"/>
      </w:tblGrid>
      <w:tr w14:paraId="0CD01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22" w:type="dxa"/>
            <w:vAlign w:val="center"/>
          </w:tcPr>
          <w:p w14:paraId="6FB12C56">
            <w:pPr>
              <w:snapToGrid w:val="0"/>
              <w:jc w:val="center"/>
              <w:rPr>
                <w:rFonts w:hint="eastAsia" w:ascii="宋体" w:hAnsi="宋体" w:eastAsia="仿宋_GB2312"/>
                <w:sz w:val="24"/>
                <w:lang w:eastAsia="zh-CN"/>
              </w:rPr>
            </w:pPr>
            <w:r>
              <w:rPr>
                <w:rFonts w:hint="eastAsia" w:ascii="宋体" w:hAnsi="宋体"/>
                <w:sz w:val="24"/>
                <w:lang w:eastAsia="zh-CN"/>
              </w:rPr>
              <w:t>序号</w:t>
            </w:r>
          </w:p>
        </w:tc>
        <w:tc>
          <w:tcPr>
            <w:tcW w:w="1545" w:type="dxa"/>
            <w:vAlign w:val="center"/>
          </w:tcPr>
          <w:p w14:paraId="24C9AAAC">
            <w:pPr>
              <w:snapToGrid w:val="0"/>
              <w:jc w:val="center"/>
              <w:rPr>
                <w:rFonts w:ascii="仿宋_GB2312" w:hAnsi="宋体" w:cs="宋体"/>
                <w:color w:val="000000"/>
                <w:kern w:val="0"/>
                <w:sz w:val="24"/>
              </w:rPr>
            </w:pPr>
            <w:r>
              <w:rPr>
                <w:rFonts w:hint="eastAsia" w:ascii="宋体" w:hAnsi="宋体"/>
                <w:sz w:val="24"/>
              </w:rPr>
              <w:t>授课知识点</w:t>
            </w:r>
          </w:p>
        </w:tc>
        <w:tc>
          <w:tcPr>
            <w:tcW w:w="4787" w:type="dxa"/>
            <w:vAlign w:val="center"/>
          </w:tcPr>
          <w:p w14:paraId="2CADE53F">
            <w:pPr>
              <w:jc w:val="center"/>
              <w:rPr>
                <w:rFonts w:ascii="宋体" w:hAnsi="宋体"/>
                <w:sz w:val="24"/>
              </w:rPr>
            </w:pPr>
            <w:r>
              <w:rPr>
                <w:rFonts w:hint="eastAsia" w:ascii="宋体" w:hAnsi="宋体"/>
                <w:sz w:val="24"/>
              </w:rPr>
              <w:t>思政设计</w:t>
            </w:r>
          </w:p>
          <w:p w14:paraId="0C853369">
            <w:pPr>
              <w:jc w:val="center"/>
              <w:rPr>
                <w:rFonts w:ascii="宋体" w:hAnsi="宋体"/>
                <w:sz w:val="24"/>
              </w:rPr>
            </w:pPr>
            <w:r>
              <w:rPr>
                <w:rFonts w:hint="eastAsia" w:ascii="宋体" w:hAnsi="宋体"/>
                <w:sz w:val="24"/>
              </w:rPr>
              <w:t>与融入点</w:t>
            </w:r>
          </w:p>
        </w:tc>
        <w:tc>
          <w:tcPr>
            <w:tcW w:w="1258" w:type="dxa"/>
            <w:vAlign w:val="center"/>
          </w:tcPr>
          <w:p w14:paraId="0050166A">
            <w:pPr>
              <w:jc w:val="center"/>
              <w:rPr>
                <w:rFonts w:ascii="宋体" w:hAnsi="宋体"/>
                <w:sz w:val="24"/>
              </w:rPr>
            </w:pPr>
            <w:r>
              <w:rPr>
                <w:rFonts w:hint="eastAsia" w:ascii="宋体" w:hAnsi="宋体"/>
                <w:sz w:val="24"/>
              </w:rPr>
              <w:t>授课形式与教学方法</w:t>
            </w:r>
          </w:p>
        </w:tc>
        <w:tc>
          <w:tcPr>
            <w:tcW w:w="1875" w:type="dxa"/>
            <w:vAlign w:val="center"/>
          </w:tcPr>
          <w:p w14:paraId="2640DCA7">
            <w:pPr>
              <w:jc w:val="center"/>
              <w:rPr>
                <w:rFonts w:ascii="宋体" w:hAnsi="宋体"/>
                <w:sz w:val="24"/>
              </w:rPr>
            </w:pPr>
            <w:r>
              <w:rPr>
                <w:rFonts w:hint="eastAsia" w:ascii="宋体" w:hAnsi="宋体"/>
                <w:sz w:val="24"/>
              </w:rPr>
              <w:t>思政育人</w:t>
            </w:r>
          </w:p>
          <w:p w14:paraId="644582D4">
            <w:pPr>
              <w:jc w:val="center"/>
              <w:rPr>
                <w:rFonts w:ascii="宋体" w:hAnsi="宋体"/>
                <w:sz w:val="24"/>
              </w:rPr>
            </w:pPr>
            <w:r>
              <w:rPr>
                <w:rFonts w:hint="eastAsia" w:ascii="宋体" w:hAnsi="宋体"/>
                <w:sz w:val="24"/>
              </w:rPr>
              <w:t>成效</w:t>
            </w:r>
          </w:p>
        </w:tc>
      </w:tr>
      <w:tr w14:paraId="4E763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22" w:type="dxa"/>
            <w:vAlign w:val="center"/>
          </w:tcPr>
          <w:p w14:paraId="1ECCFBB4">
            <w:pPr>
              <w:tabs>
                <w:tab w:val="left" w:pos="2219"/>
              </w:tabs>
              <w:suppressAutoHyphens/>
              <w:ind w:right="-108"/>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1545" w:type="dxa"/>
            <w:vAlign w:val="center"/>
          </w:tcPr>
          <w:p w14:paraId="0B68F416">
            <w:pPr>
              <w:tabs>
                <w:tab w:val="left" w:pos="2219"/>
              </w:tabs>
              <w:suppressAutoHyphens/>
              <w:ind w:right="-108"/>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应激源的概念及分类</w:t>
            </w:r>
          </w:p>
        </w:tc>
        <w:tc>
          <w:tcPr>
            <w:tcW w:w="4787" w:type="dxa"/>
            <w:vAlign w:val="center"/>
          </w:tcPr>
          <w:p w14:paraId="15ED8D9E">
            <w:pPr>
              <w:tabs>
                <w:tab w:val="left" w:pos="2219"/>
              </w:tabs>
              <w:suppressAutoHyphens/>
              <w:ind w:right="-108"/>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引入全国卫生健康系统新冠肺炎疫情防控工作先进个人颜红霞及其护理团队的案例，引导学生思考护理前辈可能面对哪些应激源？应激对生活有意义吗？我们又应如何应对应激源？</w:t>
            </w:r>
          </w:p>
        </w:tc>
        <w:tc>
          <w:tcPr>
            <w:tcW w:w="1258" w:type="dxa"/>
            <w:vAlign w:val="center"/>
          </w:tcPr>
          <w:p w14:paraId="4FF9EE23">
            <w:pPr>
              <w:tabs>
                <w:tab w:val="left" w:pos="2219"/>
              </w:tabs>
              <w:suppressAutoHyphens/>
              <w:ind w:right="-108"/>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理论课</w:t>
            </w:r>
          </w:p>
          <w:p w14:paraId="132E20DC">
            <w:pPr>
              <w:tabs>
                <w:tab w:val="left" w:pos="2219"/>
              </w:tabs>
              <w:suppressAutoHyphens/>
              <w:ind w:right="-108"/>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案例教学法 提问法</w:t>
            </w:r>
          </w:p>
          <w:p w14:paraId="5A85946E">
            <w:pPr>
              <w:tabs>
                <w:tab w:val="left" w:pos="2219"/>
              </w:tabs>
              <w:suppressAutoHyphens/>
              <w:ind w:right="-108"/>
              <w:jc w:val="center"/>
              <w:rPr>
                <w:rFonts w:hint="eastAsia" w:ascii="宋体" w:hAnsi="宋体" w:eastAsia="宋体" w:cs="宋体"/>
                <w:sz w:val="24"/>
                <w:szCs w:val="24"/>
                <w:lang w:val="en-US" w:eastAsia="zh-CN"/>
              </w:rPr>
            </w:pPr>
          </w:p>
        </w:tc>
        <w:tc>
          <w:tcPr>
            <w:tcW w:w="1875" w:type="dxa"/>
            <w:vAlign w:val="center"/>
          </w:tcPr>
          <w:p w14:paraId="5A505AFD">
            <w:pPr>
              <w:tabs>
                <w:tab w:val="left" w:pos="2219"/>
              </w:tabs>
              <w:suppressAutoHyphens/>
              <w:ind w:right="-108"/>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通过分析和解决案例问题，学生学会运用应激源相关知识发现问题、分析问题、解决问题，同时潜移默化地受到护理前辈鼓舞，在情感上接受和认可护理学专业，提高学生专业认同感。</w:t>
            </w:r>
          </w:p>
        </w:tc>
      </w:tr>
      <w:tr w14:paraId="4D329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22" w:type="dxa"/>
            <w:vAlign w:val="center"/>
          </w:tcPr>
          <w:p w14:paraId="45F46126">
            <w:pPr>
              <w:tabs>
                <w:tab w:val="left" w:pos="2219"/>
              </w:tabs>
              <w:suppressAutoHyphens/>
              <w:ind w:right="-108"/>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w:t>
            </w:r>
          </w:p>
        </w:tc>
        <w:tc>
          <w:tcPr>
            <w:tcW w:w="1545" w:type="dxa"/>
            <w:vAlign w:val="center"/>
          </w:tcPr>
          <w:p w14:paraId="24CAA376">
            <w:pPr>
              <w:tabs>
                <w:tab w:val="left" w:pos="2219"/>
              </w:tabs>
              <w:suppressAutoHyphens/>
              <w:ind w:right="-108"/>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个体心理干预---暗示</w:t>
            </w:r>
          </w:p>
        </w:tc>
        <w:tc>
          <w:tcPr>
            <w:tcW w:w="4787" w:type="dxa"/>
            <w:vAlign w:val="center"/>
          </w:tcPr>
          <w:p w14:paraId="4262D38B">
            <w:pPr>
              <w:tabs>
                <w:tab w:val="left" w:pos="2219"/>
              </w:tabs>
              <w:suppressAutoHyphens/>
              <w:ind w:right="-108"/>
              <w:jc w:val="left"/>
              <w:rPr>
                <w:rFonts w:hint="eastAsia" w:ascii="宋体" w:hAnsi="宋体" w:eastAsia="宋体" w:cs="宋体"/>
                <w:sz w:val="24"/>
                <w:szCs w:val="24"/>
                <w:lang w:val="en-US" w:eastAsia="zh-CN"/>
              </w:rPr>
            </w:pPr>
            <w:r>
              <w:rPr>
                <w:rFonts w:hint="eastAsia" w:ascii="宋体" w:hAnsi="宋体" w:eastAsia="宋体" w:cs="宋体"/>
                <w:sz w:val="24"/>
                <w:lang w:eastAsia="zh-CN"/>
              </w:rPr>
              <w:t>通过将</w:t>
            </w:r>
            <w:r>
              <w:rPr>
                <w:rFonts w:hint="eastAsia" w:ascii="宋体" w:hAnsi="宋体" w:eastAsia="宋体" w:cs="宋体"/>
                <w:sz w:val="24"/>
              </w:rPr>
              <w:t>《吕氏春秋.有始览.去尤》篇中“疑邻盗斧”的典故</w:t>
            </w:r>
            <w:r>
              <w:rPr>
                <w:rFonts w:hint="eastAsia" w:ascii="宋体" w:hAnsi="宋体" w:eastAsia="宋体" w:cs="宋体"/>
                <w:sz w:val="24"/>
                <w:lang w:eastAsia="zh-CN"/>
              </w:rPr>
              <w:t>和“罗森塔尔效应”进行对比</w:t>
            </w:r>
            <w:r>
              <w:rPr>
                <w:rFonts w:hint="eastAsia" w:ascii="宋体" w:hAnsi="宋体" w:eastAsia="宋体" w:cs="宋体"/>
                <w:sz w:val="24"/>
              </w:rPr>
              <w:t>，帮助学生理解消极心理暗示</w:t>
            </w:r>
            <w:r>
              <w:rPr>
                <w:rFonts w:hint="eastAsia" w:ascii="宋体" w:hAnsi="宋体" w:eastAsia="宋体" w:cs="宋体"/>
                <w:sz w:val="24"/>
                <w:lang w:eastAsia="zh-CN"/>
              </w:rPr>
              <w:t>和积极心理暗示</w:t>
            </w:r>
            <w:r>
              <w:rPr>
                <w:rFonts w:hint="eastAsia" w:ascii="宋体" w:hAnsi="宋体" w:eastAsia="宋体" w:cs="宋体"/>
                <w:sz w:val="24"/>
              </w:rPr>
              <w:t>对个人的</w:t>
            </w:r>
            <w:r>
              <w:rPr>
                <w:rFonts w:hint="eastAsia" w:ascii="宋体" w:hAnsi="宋体" w:eastAsia="宋体" w:cs="宋体"/>
                <w:sz w:val="24"/>
                <w:lang w:eastAsia="zh-CN"/>
              </w:rPr>
              <w:t>不同</w:t>
            </w:r>
            <w:r>
              <w:rPr>
                <w:rFonts w:hint="eastAsia" w:ascii="宋体" w:hAnsi="宋体" w:eastAsia="宋体" w:cs="宋体"/>
                <w:sz w:val="24"/>
              </w:rPr>
              <w:t>影响，引导学生开展积极的心理暗示</w:t>
            </w:r>
            <w:r>
              <w:rPr>
                <w:rFonts w:hint="eastAsia" w:ascii="宋体" w:hAnsi="宋体" w:eastAsia="宋体" w:cs="宋体"/>
                <w:sz w:val="24"/>
                <w:lang w:eastAsia="zh-CN"/>
              </w:rPr>
              <w:t>。</w:t>
            </w:r>
          </w:p>
        </w:tc>
        <w:tc>
          <w:tcPr>
            <w:tcW w:w="1258" w:type="dxa"/>
            <w:vAlign w:val="center"/>
          </w:tcPr>
          <w:p w14:paraId="78407C8B">
            <w:pPr>
              <w:tabs>
                <w:tab w:val="left" w:pos="2219"/>
              </w:tabs>
              <w:suppressAutoHyphens/>
              <w:ind w:right="-108"/>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理论课</w:t>
            </w:r>
          </w:p>
          <w:p w14:paraId="3804CC7E">
            <w:pPr>
              <w:tabs>
                <w:tab w:val="left" w:pos="2219"/>
              </w:tabs>
              <w:suppressAutoHyphens/>
              <w:ind w:right="-108"/>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比较法</w:t>
            </w:r>
          </w:p>
        </w:tc>
        <w:tc>
          <w:tcPr>
            <w:tcW w:w="1875" w:type="dxa"/>
            <w:vAlign w:val="center"/>
          </w:tcPr>
          <w:p w14:paraId="7C1D6A07">
            <w:pPr>
              <w:tabs>
                <w:tab w:val="left" w:pos="2219"/>
              </w:tabs>
              <w:suppressAutoHyphens/>
              <w:ind w:right="-108"/>
              <w:jc w:val="both"/>
              <w:rPr>
                <w:rFonts w:hint="eastAsia" w:ascii="宋体" w:hAnsi="宋体" w:eastAsia="宋体" w:cs="宋体"/>
                <w:sz w:val="24"/>
                <w:szCs w:val="24"/>
                <w:lang w:val="en-US" w:eastAsia="zh-CN"/>
              </w:rPr>
            </w:pPr>
            <w:r>
              <w:rPr>
                <w:rFonts w:hint="eastAsia" w:ascii="宋体" w:hAnsi="宋体" w:eastAsia="宋体" w:cs="宋体"/>
                <w:sz w:val="24"/>
                <w:lang w:eastAsia="zh-CN"/>
              </w:rPr>
              <w:t>通过对两个案例进行比较分析，学生能够认识到具有积极乐观态度的重要性。</w:t>
            </w:r>
          </w:p>
        </w:tc>
      </w:tr>
      <w:tr w14:paraId="1EB11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22" w:type="dxa"/>
            <w:vAlign w:val="center"/>
          </w:tcPr>
          <w:p w14:paraId="4E802D36">
            <w:pPr>
              <w:tabs>
                <w:tab w:val="left" w:pos="2219"/>
              </w:tabs>
              <w:suppressAutoHyphens/>
              <w:ind w:right="-108"/>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w:t>
            </w:r>
          </w:p>
        </w:tc>
        <w:tc>
          <w:tcPr>
            <w:tcW w:w="1545" w:type="dxa"/>
            <w:vAlign w:val="center"/>
          </w:tcPr>
          <w:p w14:paraId="734FD72B">
            <w:pPr>
              <w:tabs>
                <w:tab w:val="left" w:pos="2219"/>
              </w:tabs>
              <w:suppressAutoHyphens/>
              <w:ind w:right="-108"/>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孕产妇的心理特点与心理护理</w:t>
            </w:r>
          </w:p>
        </w:tc>
        <w:tc>
          <w:tcPr>
            <w:tcW w:w="4787" w:type="dxa"/>
            <w:vAlign w:val="center"/>
          </w:tcPr>
          <w:p w14:paraId="4F2F5C15">
            <w:pPr>
              <w:tabs>
                <w:tab w:val="left" w:pos="2219"/>
              </w:tabs>
              <w:suppressAutoHyphens/>
              <w:ind w:right="-108"/>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分享武汉大学中南医院纪录片《生门》片段，在感受生死交替的震撼和迎接生命降临的喜悦间，引导学生对孕产妇产生共情，同时对护理工作不可估量的价值产生共鸣。</w:t>
            </w:r>
          </w:p>
          <w:p w14:paraId="534542CE">
            <w:pPr>
              <w:tabs>
                <w:tab w:val="left" w:pos="2219"/>
              </w:tabs>
              <w:suppressAutoHyphens/>
              <w:ind w:right="-108"/>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通过介绍新进展：</w:t>
            </w:r>
            <w:r>
              <w:rPr>
                <w:rFonts w:hint="eastAsia" w:ascii="宋体" w:hAnsi="宋体" w:eastAsia="宋体" w:cs="宋体"/>
                <w:sz w:val="24"/>
                <w:szCs w:val="24"/>
                <w:highlight w:val="none"/>
                <w:lang w:val="en-US" w:eastAsia="zh-CN"/>
              </w:rPr>
              <w:t>孕产妇丈夫</w:t>
            </w:r>
            <w:r>
              <w:rPr>
                <w:rFonts w:hint="eastAsia" w:ascii="宋体" w:hAnsi="宋体" w:eastAsia="宋体" w:cs="宋体"/>
                <w:sz w:val="24"/>
                <w:szCs w:val="24"/>
                <w:lang w:val="en-US" w:eastAsia="zh-CN"/>
              </w:rPr>
              <w:t>产后抑郁症的发生现状，激发学生学习兴趣和好奇心。</w:t>
            </w:r>
          </w:p>
        </w:tc>
        <w:tc>
          <w:tcPr>
            <w:tcW w:w="1258" w:type="dxa"/>
            <w:vAlign w:val="center"/>
          </w:tcPr>
          <w:p w14:paraId="749F3A30">
            <w:pPr>
              <w:tabs>
                <w:tab w:val="left" w:pos="2219"/>
              </w:tabs>
              <w:suppressAutoHyphens/>
              <w:ind w:right="-108"/>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理论课</w:t>
            </w:r>
          </w:p>
          <w:p w14:paraId="795394FE">
            <w:pPr>
              <w:tabs>
                <w:tab w:val="left" w:pos="2219"/>
              </w:tabs>
              <w:suppressAutoHyphens/>
              <w:ind w:right="-108"/>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演示法</w:t>
            </w:r>
          </w:p>
          <w:p w14:paraId="0AFDA1FE">
            <w:pPr>
              <w:tabs>
                <w:tab w:val="left" w:pos="2219"/>
              </w:tabs>
              <w:suppressAutoHyphens/>
              <w:ind w:right="-108"/>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提问法</w:t>
            </w:r>
          </w:p>
        </w:tc>
        <w:tc>
          <w:tcPr>
            <w:tcW w:w="1875" w:type="dxa"/>
            <w:vAlign w:val="center"/>
          </w:tcPr>
          <w:p w14:paraId="7A894AC4">
            <w:pPr>
              <w:tabs>
                <w:tab w:val="left" w:pos="2219"/>
              </w:tabs>
              <w:suppressAutoHyphens/>
              <w:ind w:right="-108"/>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在第三章渗透专业认同感的基础上，学生能够树立正确的职业态度。通过观看视频、分享观后感，学生对护理职业的价值有了更加深刻的体会，同时能够表达对未来积极职业行为的规划。</w:t>
            </w:r>
          </w:p>
        </w:tc>
      </w:tr>
      <w:tr w14:paraId="1C216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22" w:type="dxa"/>
            <w:vAlign w:val="center"/>
          </w:tcPr>
          <w:p w14:paraId="0FD6AAB0">
            <w:pPr>
              <w:snapToGrid w:val="0"/>
              <w:jc w:val="center"/>
              <w:rPr>
                <w:rFonts w:hint="default" w:ascii="宋体" w:hAnsi="宋体" w:eastAsia="宋体" w:cs="宋体"/>
                <w:color w:val="000000"/>
                <w:kern w:val="0"/>
                <w:sz w:val="24"/>
                <w:lang w:val="en-US" w:eastAsia="zh-CN"/>
              </w:rPr>
            </w:pPr>
            <w:r>
              <w:rPr>
                <w:rFonts w:hint="eastAsia" w:ascii="宋体" w:hAnsi="宋体" w:eastAsia="宋体" w:cs="宋体"/>
                <w:color w:val="000000"/>
                <w:kern w:val="0"/>
                <w:sz w:val="24"/>
                <w:lang w:val="en-US" w:eastAsia="zh-CN"/>
              </w:rPr>
              <w:t>4</w:t>
            </w:r>
          </w:p>
        </w:tc>
        <w:tc>
          <w:tcPr>
            <w:tcW w:w="1545" w:type="dxa"/>
            <w:vAlign w:val="center"/>
          </w:tcPr>
          <w:p w14:paraId="3581215B">
            <w:pPr>
              <w:snapToGrid w:val="0"/>
              <w:jc w:val="center"/>
              <w:rPr>
                <w:rFonts w:hint="eastAsia" w:ascii="宋体" w:hAnsi="宋体" w:eastAsia="宋体" w:cs="宋体"/>
                <w:color w:val="000000"/>
                <w:kern w:val="0"/>
                <w:sz w:val="24"/>
                <w:lang w:eastAsia="zh-CN"/>
              </w:rPr>
            </w:pPr>
            <w:r>
              <w:rPr>
                <w:rFonts w:hint="eastAsia" w:ascii="宋体" w:hAnsi="宋体" w:eastAsia="宋体" w:cs="宋体"/>
                <w:color w:val="000000"/>
                <w:kern w:val="0"/>
                <w:sz w:val="24"/>
                <w:lang w:eastAsia="zh-CN"/>
              </w:rPr>
              <w:t>临终病人的心理护理</w:t>
            </w:r>
          </w:p>
        </w:tc>
        <w:tc>
          <w:tcPr>
            <w:tcW w:w="4787" w:type="dxa"/>
            <w:vAlign w:val="center"/>
          </w:tcPr>
          <w:p w14:paraId="31A9EFAD">
            <w:pPr>
              <w:snapToGrid w:val="0"/>
              <w:jc w:val="both"/>
              <w:rPr>
                <w:rFonts w:hint="eastAsia" w:ascii="宋体" w:hAnsi="宋体" w:eastAsia="宋体" w:cs="宋体"/>
                <w:color w:val="000000"/>
                <w:kern w:val="0"/>
                <w:sz w:val="24"/>
                <w:lang w:eastAsia="zh-CN"/>
              </w:rPr>
            </w:pPr>
            <w:r>
              <w:rPr>
                <w:rFonts w:hint="eastAsia" w:ascii="宋体" w:hAnsi="宋体" w:eastAsia="宋体" w:cs="宋体"/>
                <w:color w:val="000000"/>
                <w:kern w:val="0"/>
                <w:sz w:val="24"/>
                <w:lang w:eastAsia="zh-CN"/>
              </w:rPr>
              <w:t>播放《口述中国》之《医者仁心》中国第一家临终关怀医院---李伟，引导学生接受一个人从婴儿到少年､成年､老年，</w:t>
            </w:r>
          </w:p>
          <w:p w14:paraId="2253E5CB">
            <w:pPr>
              <w:snapToGrid w:val="0"/>
              <w:jc w:val="both"/>
              <w:rPr>
                <w:rFonts w:hint="eastAsia" w:ascii="宋体" w:hAnsi="宋体" w:eastAsia="宋体" w:cs="宋体"/>
                <w:color w:val="000000"/>
                <w:kern w:val="0"/>
                <w:sz w:val="24"/>
              </w:rPr>
            </w:pPr>
            <w:r>
              <w:rPr>
                <w:rFonts w:hint="eastAsia" w:ascii="宋体" w:hAnsi="宋体" w:eastAsia="宋体" w:cs="宋体"/>
                <w:color w:val="000000"/>
                <w:kern w:val="0"/>
                <w:sz w:val="24"/>
                <w:lang w:eastAsia="zh-CN"/>
              </w:rPr>
              <w:t>经历生老病死，是必须遵循的客观规律；并且能够关注临终病人的心理需求，对于优死给予同样的尊重。</w:t>
            </w:r>
          </w:p>
        </w:tc>
        <w:tc>
          <w:tcPr>
            <w:tcW w:w="1258" w:type="dxa"/>
            <w:vAlign w:val="center"/>
          </w:tcPr>
          <w:p w14:paraId="633EAE09">
            <w:pPr>
              <w:snapToGrid w:val="0"/>
              <w:jc w:val="center"/>
              <w:rPr>
                <w:rFonts w:hint="eastAsia" w:ascii="宋体" w:hAnsi="宋体" w:eastAsia="宋体" w:cs="宋体"/>
                <w:color w:val="000000"/>
                <w:kern w:val="0"/>
                <w:sz w:val="24"/>
                <w:lang w:eastAsia="zh-CN"/>
              </w:rPr>
            </w:pPr>
            <w:r>
              <w:rPr>
                <w:rFonts w:hint="eastAsia" w:ascii="宋体" w:hAnsi="宋体" w:eastAsia="宋体" w:cs="宋体"/>
                <w:color w:val="000000"/>
                <w:kern w:val="0"/>
                <w:sz w:val="24"/>
                <w:lang w:eastAsia="zh-CN"/>
              </w:rPr>
              <w:t>理论课</w:t>
            </w:r>
          </w:p>
          <w:p w14:paraId="20A8111E">
            <w:pPr>
              <w:snapToGrid w:val="0"/>
              <w:jc w:val="center"/>
              <w:rPr>
                <w:rFonts w:hint="eastAsia" w:ascii="宋体" w:hAnsi="宋体" w:eastAsia="宋体" w:cs="宋体"/>
                <w:color w:val="000000"/>
                <w:kern w:val="0"/>
                <w:sz w:val="24"/>
                <w:lang w:eastAsia="zh-CN"/>
              </w:rPr>
            </w:pPr>
            <w:r>
              <w:rPr>
                <w:rFonts w:hint="eastAsia" w:ascii="宋体" w:hAnsi="宋体" w:eastAsia="宋体" w:cs="宋体"/>
                <w:color w:val="000000"/>
                <w:kern w:val="0"/>
                <w:sz w:val="24"/>
                <w:lang w:eastAsia="zh-CN"/>
              </w:rPr>
              <w:t>讲授法</w:t>
            </w:r>
          </w:p>
          <w:p w14:paraId="291E05AD">
            <w:pPr>
              <w:snapToGrid w:val="0"/>
              <w:jc w:val="center"/>
              <w:rPr>
                <w:rFonts w:hint="eastAsia" w:ascii="宋体" w:hAnsi="宋体" w:eastAsia="宋体" w:cs="宋体"/>
                <w:color w:val="000000"/>
                <w:kern w:val="0"/>
                <w:sz w:val="24"/>
                <w:lang w:eastAsia="zh-CN"/>
              </w:rPr>
            </w:pPr>
            <w:r>
              <w:rPr>
                <w:rFonts w:hint="eastAsia" w:ascii="宋体" w:hAnsi="宋体" w:eastAsia="宋体" w:cs="宋体"/>
                <w:color w:val="000000"/>
                <w:kern w:val="0"/>
                <w:sz w:val="24"/>
                <w:lang w:eastAsia="zh-CN"/>
              </w:rPr>
              <w:t>情感体验法</w:t>
            </w:r>
          </w:p>
        </w:tc>
        <w:tc>
          <w:tcPr>
            <w:tcW w:w="1875" w:type="dxa"/>
            <w:vAlign w:val="center"/>
          </w:tcPr>
          <w:p w14:paraId="059D4FB8">
            <w:pPr>
              <w:snapToGrid w:val="0"/>
              <w:jc w:val="left"/>
              <w:rPr>
                <w:rFonts w:hint="eastAsia" w:ascii="宋体" w:hAnsi="宋体" w:eastAsia="宋体" w:cs="宋体"/>
                <w:color w:val="000000"/>
                <w:kern w:val="0"/>
                <w:sz w:val="24"/>
                <w:lang w:eastAsia="zh-CN"/>
              </w:rPr>
            </w:pPr>
            <w:r>
              <w:rPr>
                <w:rFonts w:hint="eastAsia" w:ascii="宋体" w:hAnsi="宋体" w:eastAsia="宋体" w:cs="宋体"/>
                <w:sz w:val="24"/>
                <w:szCs w:val="24"/>
                <w:lang w:val="en-US" w:eastAsia="zh-CN"/>
              </w:rPr>
              <w:t>通过聆听李伟口述临终关怀医院建立的初衷以及对生老病死有关场所的了解，引导学生理解生与死的意义，珍爱生活，关心他人；学会尊重生命、敬畏生命。</w:t>
            </w:r>
          </w:p>
        </w:tc>
      </w:tr>
      <w:tr w14:paraId="6D9FF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22" w:type="dxa"/>
            <w:vAlign w:val="center"/>
          </w:tcPr>
          <w:p w14:paraId="392EF36C">
            <w:pPr>
              <w:snapToGrid w:val="0"/>
              <w:jc w:val="center"/>
              <w:rPr>
                <w:rFonts w:hint="default" w:ascii="宋体" w:hAnsi="宋体" w:eastAsia="宋体" w:cs="宋体"/>
                <w:color w:val="000000"/>
                <w:kern w:val="0"/>
                <w:sz w:val="24"/>
                <w:lang w:val="en-US" w:eastAsia="zh-CN"/>
              </w:rPr>
            </w:pPr>
            <w:r>
              <w:rPr>
                <w:rFonts w:hint="eastAsia" w:ascii="宋体" w:hAnsi="宋体" w:eastAsia="宋体" w:cs="宋体"/>
                <w:color w:val="000000"/>
                <w:kern w:val="0"/>
                <w:sz w:val="24"/>
                <w:lang w:val="en-US" w:eastAsia="zh-CN"/>
              </w:rPr>
              <w:t>5</w:t>
            </w:r>
          </w:p>
        </w:tc>
        <w:tc>
          <w:tcPr>
            <w:tcW w:w="1545" w:type="dxa"/>
            <w:vAlign w:val="center"/>
          </w:tcPr>
          <w:p w14:paraId="4A045D0F">
            <w:pPr>
              <w:snapToGrid w:val="0"/>
              <w:jc w:val="center"/>
              <w:rPr>
                <w:rFonts w:hint="eastAsia" w:ascii="宋体" w:hAnsi="宋体" w:eastAsia="宋体" w:cs="宋体"/>
                <w:color w:val="000000"/>
                <w:kern w:val="0"/>
                <w:sz w:val="24"/>
                <w:lang w:eastAsia="zh-CN"/>
              </w:rPr>
            </w:pPr>
            <w:r>
              <w:rPr>
                <w:rFonts w:hint="eastAsia" w:ascii="宋体" w:hAnsi="宋体" w:eastAsia="宋体" w:cs="宋体"/>
                <w:color w:val="000000"/>
                <w:kern w:val="0"/>
                <w:sz w:val="24"/>
                <w:lang w:eastAsia="zh-CN"/>
              </w:rPr>
              <w:t>护士心理健康的标准和策略</w:t>
            </w:r>
          </w:p>
        </w:tc>
        <w:tc>
          <w:tcPr>
            <w:tcW w:w="4787" w:type="dxa"/>
            <w:vAlign w:val="center"/>
          </w:tcPr>
          <w:p w14:paraId="3ADCED8F">
            <w:pPr>
              <w:snapToGrid w:val="0"/>
              <w:jc w:val="both"/>
              <w:rPr>
                <w:rFonts w:hint="eastAsia" w:ascii="宋体" w:hAnsi="宋体" w:eastAsia="宋体" w:cs="宋体"/>
                <w:color w:val="000000"/>
                <w:kern w:val="0"/>
                <w:sz w:val="24"/>
                <w:lang w:eastAsia="zh-CN"/>
              </w:rPr>
            </w:pPr>
            <w:r>
              <w:rPr>
                <w:rFonts w:hint="eastAsia" w:ascii="宋体" w:hAnsi="宋体" w:eastAsia="宋体" w:cs="宋体"/>
                <w:color w:val="000000"/>
                <w:kern w:val="0"/>
                <w:sz w:val="24"/>
                <w:lang w:eastAsia="zh-CN"/>
              </w:rPr>
              <w:t>引入北宋作家苏轼，他一生经历充满坎坷，饱尝艰辛，一度入狱，几乎丧命；多次贬官，两次流放；奔走潦倒的他，最终成为文学巨匠，留下一首首经典诗作，结合生平背景重温其主要诗词作品。引导学生善用辩证唯物主义分析问题、解决实际问题。</w:t>
            </w:r>
          </w:p>
          <w:p w14:paraId="36873273">
            <w:pPr>
              <w:snapToGrid w:val="0"/>
              <w:jc w:val="both"/>
              <w:rPr>
                <w:rFonts w:hint="eastAsia" w:ascii="宋体" w:hAnsi="宋体" w:eastAsia="宋体" w:cs="宋体"/>
                <w:color w:val="000000"/>
                <w:kern w:val="0"/>
                <w:sz w:val="24"/>
                <w:lang w:eastAsia="zh-CN"/>
              </w:rPr>
            </w:pPr>
            <w:r>
              <w:rPr>
                <w:rFonts w:hint="eastAsia" w:ascii="宋体" w:hAnsi="宋体" w:eastAsia="宋体" w:cs="宋体"/>
                <w:color w:val="000000"/>
                <w:kern w:val="0"/>
                <w:sz w:val="24"/>
                <w:lang w:eastAsia="zh-CN"/>
              </w:rPr>
              <w:t>通过布置课后作业，学生练习接纳自己、欣赏自己，寻找自己的闪光点；在第二课堂组织感兴趣的同学运用内容分析法，对课堂数据进行整理、归纳和分析，培养学生创新思维能力。</w:t>
            </w:r>
          </w:p>
        </w:tc>
        <w:tc>
          <w:tcPr>
            <w:tcW w:w="1258" w:type="dxa"/>
            <w:vAlign w:val="center"/>
          </w:tcPr>
          <w:p w14:paraId="1979C251">
            <w:pPr>
              <w:snapToGrid w:val="0"/>
              <w:jc w:val="center"/>
              <w:rPr>
                <w:rFonts w:hint="eastAsia" w:ascii="宋体" w:hAnsi="宋体" w:eastAsia="宋体" w:cs="宋体"/>
                <w:color w:val="000000"/>
                <w:kern w:val="0"/>
                <w:sz w:val="24"/>
                <w:lang w:eastAsia="zh-CN"/>
              </w:rPr>
            </w:pPr>
            <w:r>
              <w:rPr>
                <w:rFonts w:hint="eastAsia" w:ascii="宋体" w:hAnsi="宋体" w:eastAsia="宋体" w:cs="宋体"/>
                <w:color w:val="000000"/>
                <w:kern w:val="0"/>
                <w:sz w:val="24"/>
                <w:lang w:eastAsia="zh-CN"/>
              </w:rPr>
              <w:t>实验课</w:t>
            </w:r>
          </w:p>
          <w:p w14:paraId="3028FD59">
            <w:pPr>
              <w:snapToGrid w:val="0"/>
              <w:jc w:val="center"/>
              <w:rPr>
                <w:rFonts w:hint="eastAsia" w:ascii="宋体" w:hAnsi="宋体" w:eastAsia="宋体" w:cs="宋体"/>
                <w:color w:val="000000"/>
                <w:kern w:val="0"/>
                <w:sz w:val="24"/>
                <w:lang w:eastAsia="zh-CN"/>
              </w:rPr>
            </w:pPr>
            <w:r>
              <w:rPr>
                <w:rFonts w:hint="eastAsia" w:ascii="宋体" w:hAnsi="宋体" w:eastAsia="宋体" w:cs="宋体"/>
                <w:color w:val="000000"/>
                <w:kern w:val="0"/>
                <w:sz w:val="24"/>
                <w:lang w:eastAsia="zh-CN"/>
              </w:rPr>
              <w:t>讲授法</w:t>
            </w:r>
          </w:p>
          <w:p w14:paraId="5E3FA33D">
            <w:pPr>
              <w:snapToGrid w:val="0"/>
              <w:jc w:val="center"/>
              <w:rPr>
                <w:rFonts w:hint="eastAsia" w:ascii="宋体" w:hAnsi="宋体" w:eastAsia="宋体" w:cs="宋体"/>
                <w:color w:val="000000"/>
                <w:kern w:val="0"/>
                <w:sz w:val="24"/>
                <w:lang w:eastAsia="zh-CN"/>
              </w:rPr>
            </w:pPr>
            <w:r>
              <w:rPr>
                <w:rFonts w:hint="eastAsia" w:ascii="宋体" w:hAnsi="宋体" w:eastAsia="宋体" w:cs="宋体"/>
                <w:color w:val="000000"/>
                <w:kern w:val="0"/>
                <w:sz w:val="24"/>
                <w:lang w:eastAsia="zh-CN"/>
              </w:rPr>
              <w:t>练习法</w:t>
            </w:r>
          </w:p>
          <w:p w14:paraId="55FE4B07">
            <w:pPr>
              <w:snapToGrid w:val="0"/>
              <w:jc w:val="center"/>
              <w:rPr>
                <w:rFonts w:hint="eastAsia" w:ascii="宋体" w:hAnsi="宋体" w:eastAsia="宋体" w:cs="宋体"/>
                <w:color w:val="000000"/>
                <w:kern w:val="0"/>
                <w:sz w:val="24"/>
                <w:lang w:eastAsia="zh-CN"/>
              </w:rPr>
            </w:pPr>
          </w:p>
          <w:p w14:paraId="5B29CA20">
            <w:pPr>
              <w:snapToGrid w:val="0"/>
              <w:jc w:val="center"/>
              <w:rPr>
                <w:rFonts w:hint="eastAsia" w:ascii="宋体" w:hAnsi="宋体" w:eastAsia="宋体" w:cs="宋体"/>
                <w:color w:val="000000"/>
                <w:kern w:val="0"/>
                <w:sz w:val="24"/>
                <w:lang w:eastAsia="zh-CN"/>
              </w:rPr>
            </w:pPr>
          </w:p>
          <w:p w14:paraId="6EFEC088">
            <w:pPr>
              <w:snapToGrid w:val="0"/>
              <w:jc w:val="center"/>
              <w:rPr>
                <w:rFonts w:hint="eastAsia" w:ascii="宋体" w:hAnsi="宋体" w:eastAsia="宋体" w:cs="宋体"/>
                <w:color w:val="000000"/>
                <w:kern w:val="0"/>
                <w:sz w:val="24"/>
                <w:lang w:eastAsia="zh-CN"/>
              </w:rPr>
            </w:pPr>
          </w:p>
          <w:p w14:paraId="7C94E115">
            <w:pPr>
              <w:snapToGrid w:val="0"/>
              <w:jc w:val="center"/>
              <w:rPr>
                <w:rFonts w:hint="eastAsia" w:ascii="宋体" w:hAnsi="宋体" w:eastAsia="宋体" w:cs="宋体"/>
                <w:color w:val="000000"/>
                <w:kern w:val="0"/>
                <w:sz w:val="24"/>
                <w:lang w:eastAsia="zh-CN"/>
              </w:rPr>
            </w:pPr>
          </w:p>
          <w:p w14:paraId="06B5A9F2">
            <w:pPr>
              <w:snapToGrid w:val="0"/>
              <w:jc w:val="center"/>
              <w:rPr>
                <w:rFonts w:hint="eastAsia" w:ascii="宋体" w:hAnsi="宋体" w:eastAsia="宋体" w:cs="宋体"/>
                <w:color w:val="000000"/>
                <w:kern w:val="0"/>
                <w:sz w:val="24"/>
                <w:lang w:eastAsia="zh-CN"/>
              </w:rPr>
            </w:pPr>
          </w:p>
          <w:p w14:paraId="23BA133D">
            <w:pPr>
              <w:snapToGrid w:val="0"/>
              <w:jc w:val="center"/>
              <w:rPr>
                <w:rFonts w:hint="eastAsia" w:ascii="宋体" w:hAnsi="宋体" w:eastAsia="宋体" w:cs="宋体"/>
                <w:color w:val="000000"/>
                <w:kern w:val="0"/>
                <w:sz w:val="24"/>
                <w:lang w:eastAsia="zh-CN"/>
              </w:rPr>
            </w:pPr>
          </w:p>
          <w:p w14:paraId="436C702F">
            <w:pPr>
              <w:snapToGrid w:val="0"/>
              <w:jc w:val="center"/>
              <w:rPr>
                <w:rFonts w:hint="eastAsia" w:ascii="宋体" w:hAnsi="宋体" w:eastAsia="宋体" w:cs="宋体"/>
                <w:color w:val="000000"/>
                <w:kern w:val="0"/>
                <w:sz w:val="24"/>
                <w:lang w:eastAsia="zh-CN"/>
              </w:rPr>
            </w:pPr>
          </w:p>
          <w:p w14:paraId="781E7EB5">
            <w:pPr>
              <w:snapToGrid w:val="0"/>
              <w:jc w:val="center"/>
              <w:rPr>
                <w:rFonts w:hint="eastAsia" w:ascii="宋体" w:hAnsi="宋体" w:eastAsia="宋体" w:cs="宋体"/>
                <w:color w:val="000000"/>
                <w:kern w:val="0"/>
                <w:sz w:val="24"/>
                <w:lang w:eastAsia="zh-CN"/>
              </w:rPr>
            </w:pPr>
          </w:p>
          <w:p w14:paraId="54B878C6">
            <w:pPr>
              <w:snapToGrid w:val="0"/>
              <w:jc w:val="center"/>
              <w:rPr>
                <w:rFonts w:hint="eastAsia" w:ascii="宋体" w:hAnsi="宋体" w:eastAsia="宋体" w:cs="宋体"/>
                <w:color w:val="000000"/>
                <w:kern w:val="0"/>
                <w:sz w:val="24"/>
                <w:lang w:eastAsia="zh-CN"/>
              </w:rPr>
            </w:pPr>
          </w:p>
          <w:p w14:paraId="30271A1D">
            <w:pPr>
              <w:snapToGrid w:val="0"/>
              <w:jc w:val="center"/>
              <w:rPr>
                <w:rFonts w:hint="eastAsia" w:ascii="宋体" w:hAnsi="宋体" w:eastAsia="宋体" w:cs="宋体"/>
                <w:color w:val="000000"/>
                <w:kern w:val="0"/>
                <w:sz w:val="24"/>
                <w:lang w:eastAsia="zh-CN"/>
              </w:rPr>
            </w:pPr>
          </w:p>
          <w:p w14:paraId="77BBC3B1">
            <w:pPr>
              <w:snapToGrid w:val="0"/>
              <w:jc w:val="center"/>
              <w:rPr>
                <w:rFonts w:hint="eastAsia" w:ascii="宋体" w:hAnsi="宋体" w:eastAsia="宋体" w:cs="宋体"/>
                <w:color w:val="000000"/>
                <w:kern w:val="0"/>
                <w:sz w:val="24"/>
                <w:lang w:eastAsia="zh-CN"/>
              </w:rPr>
            </w:pPr>
          </w:p>
          <w:p w14:paraId="2B9E41FF">
            <w:pPr>
              <w:snapToGrid w:val="0"/>
              <w:jc w:val="center"/>
              <w:rPr>
                <w:rFonts w:hint="eastAsia" w:ascii="宋体" w:hAnsi="宋体" w:eastAsia="宋体" w:cs="宋体"/>
                <w:color w:val="000000"/>
                <w:kern w:val="0"/>
                <w:sz w:val="24"/>
                <w:lang w:eastAsia="zh-CN"/>
              </w:rPr>
            </w:pPr>
          </w:p>
          <w:p w14:paraId="3986220D">
            <w:pPr>
              <w:snapToGrid w:val="0"/>
              <w:jc w:val="center"/>
              <w:rPr>
                <w:rFonts w:hint="eastAsia" w:ascii="宋体" w:hAnsi="宋体" w:eastAsia="宋体" w:cs="宋体"/>
                <w:color w:val="000000"/>
                <w:kern w:val="0"/>
                <w:sz w:val="24"/>
                <w:lang w:eastAsia="zh-CN"/>
              </w:rPr>
            </w:pPr>
          </w:p>
          <w:p w14:paraId="3BBE3608">
            <w:pPr>
              <w:snapToGrid w:val="0"/>
              <w:jc w:val="center"/>
              <w:rPr>
                <w:rFonts w:hint="eastAsia" w:ascii="宋体" w:hAnsi="宋体" w:eastAsia="宋体" w:cs="宋体"/>
                <w:color w:val="000000"/>
                <w:kern w:val="0"/>
                <w:sz w:val="24"/>
                <w:lang w:eastAsia="zh-CN"/>
              </w:rPr>
            </w:pPr>
            <w:r>
              <w:rPr>
                <w:rFonts w:hint="eastAsia" w:ascii="宋体" w:hAnsi="宋体" w:eastAsia="宋体" w:cs="宋体"/>
                <w:color w:val="000000"/>
                <w:kern w:val="0"/>
                <w:sz w:val="24"/>
                <w:lang w:eastAsia="zh-CN"/>
              </w:rPr>
              <w:t>第二课堂</w:t>
            </w:r>
            <w:r>
              <w:rPr>
                <w:rFonts w:hint="eastAsia" w:ascii="宋体" w:hAnsi="宋体" w:eastAsia="宋体" w:cs="宋体"/>
                <w:color w:val="000000"/>
                <w:kern w:val="0"/>
                <w:sz w:val="24"/>
                <w:lang w:val="en-US" w:eastAsia="zh-CN"/>
              </w:rPr>
              <w:t xml:space="preserve"> </w:t>
            </w:r>
          </w:p>
          <w:p w14:paraId="03BF5959">
            <w:pPr>
              <w:snapToGrid w:val="0"/>
              <w:jc w:val="center"/>
              <w:rPr>
                <w:rFonts w:hint="eastAsia" w:ascii="宋体" w:hAnsi="宋体" w:eastAsia="宋体" w:cs="宋体"/>
                <w:color w:val="000000"/>
                <w:kern w:val="0"/>
                <w:sz w:val="24"/>
                <w:lang w:eastAsia="zh-CN"/>
              </w:rPr>
            </w:pPr>
            <w:r>
              <w:rPr>
                <w:rFonts w:hint="eastAsia" w:ascii="宋体" w:hAnsi="宋体" w:eastAsia="宋体" w:cs="宋体"/>
                <w:color w:val="000000"/>
                <w:kern w:val="0"/>
                <w:sz w:val="24"/>
                <w:lang w:eastAsia="zh-CN"/>
              </w:rPr>
              <w:t>探究学习法</w:t>
            </w:r>
          </w:p>
          <w:p w14:paraId="7E0AD5C3">
            <w:pPr>
              <w:snapToGrid w:val="0"/>
              <w:jc w:val="center"/>
              <w:rPr>
                <w:rFonts w:hint="eastAsia" w:ascii="宋体" w:hAnsi="宋体" w:eastAsia="宋体" w:cs="宋体"/>
                <w:color w:val="000000"/>
                <w:kern w:val="0"/>
                <w:sz w:val="24"/>
                <w:lang w:eastAsia="zh-CN"/>
              </w:rPr>
            </w:pPr>
          </w:p>
        </w:tc>
        <w:tc>
          <w:tcPr>
            <w:tcW w:w="1875" w:type="dxa"/>
            <w:vAlign w:val="center"/>
          </w:tcPr>
          <w:p w14:paraId="07EE975E">
            <w:pPr>
              <w:snapToGrid w:val="0"/>
              <w:jc w:val="both"/>
              <w:rPr>
                <w:rFonts w:hint="eastAsia" w:ascii="宋体" w:hAnsi="宋体" w:eastAsia="宋体" w:cs="宋体"/>
                <w:color w:val="000000"/>
                <w:kern w:val="0"/>
                <w:sz w:val="24"/>
                <w:lang w:eastAsia="zh-CN"/>
              </w:rPr>
            </w:pPr>
            <w:r>
              <w:rPr>
                <w:rFonts w:hint="eastAsia" w:ascii="宋体" w:hAnsi="宋体" w:eastAsia="宋体" w:cs="宋体"/>
                <w:color w:val="000000"/>
                <w:kern w:val="0"/>
                <w:sz w:val="24"/>
                <w:lang w:eastAsia="zh-CN"/>
              </w:rPr>
              <w:t>了解苏轼生平后，通过对不同案例的分析和练习，学生能够自觉地坚持和运用辩证唯物主义世界观和方法论，学会具体问题具体分析，善用辩证思维解决实际问题。</w:t>
            </w:r>
          </w:p>
          <w:p w14:paraId="7303153B">
            <w:pPr>
              <w:snapToGrid w:val="0"/>
              <w:jc w:val="both"/>
              <w:rPr>
                <w:rFonts w:hint="eastAsia" w:ascii="宋体" w:hAnsi="宋体" w:eastAsia="宋体" w:cs="宋体"/>
                <w:color w:val="000000"/>
                <w:kern w:val="0"/>
                <w:sz w:val="24"/>
                <w:lang w:eastAsia="zh-CN"/>
              </w:rPr>
            </w:pPr>
          </w:p>
          <w:p w14:paraId="692FCD97">
            <w:pPr>
              <w:snapToGrid w:val="0"/>
              <w:jc w:val="both"/>
              <w:rPr>
                <w:rFonts w:hint="eastAsia" w:ascii="宋体" w:hAnsi="宋体" w:eastAsia="宋体" w:cs="宋体"/>
                <w:color w:val="000000"/>
                <w:kern w:val="0"/>
                <w:sz w:val="24"/>
                <w:lang w:eastAsia="zh-CN"/>
              </w:rPr>
            </w:pPr>
          </w:p>
          <w:p w14:paraId="5BBB9085">
            <w:pPr>
              <w:snapToGrid w:val="0"/>
              <w:jc w:val="both"/>
              <w:rPr>
                <w:rFonts w:hint="eastAsia" w:ascii="宋体" w:hAnsi="宋体" w:eastAsia="宋体" w:cs="宋体"/>
                <w:color w:val="000000"/>
                <w:kern w:val="0"/>
                <w:sz w:val="24"/>
                <w:lang w:eastAsia="zh-CN"/>
              </w:rPr>
            </w:pPr>
          </w:p>
          <w:p w14:paraId="0DF09DEA">
            <w:pPr>
              <w:snapToGrid w:val="0"/>
              <w:jc w:val="both"/>
              <w:rPr>
                <w:rFonts w:hint="eastAsia" w:ascii="宋体" w:hAnsi="宋体" w:eastAsia="宋体" w:cs="宋体"/>
                <w:color w:val="000000"/>
                <w:kern w:val="0"/>
                <w:sz w:val="24"/>
                <w:lang w:eastAsia="zh-CN"/>
              </w:rPr>
            </w:pPr>
          </w:p>
          <w:p w14:paraId="44EFBB66">
            <w:pPr>
              <w:snapToGrid w:val="0"/>
              <w:jc w:val="both"/>
              <w:rPr>
                <w:rFonts w:hint="eastAsia" w:ascii="宋体" w:hAnsi="宋体" w:eastAsia="宋体" w:cs="宋体"/>
                <w:color w:val="000000"/>
                <w:kern w:val="0"/>
                <w:sz w:val="24"/>
                <w:lang w:eastAsia="zh-CN"/>
              </w:rPr>
            </w:pPr>
          </w:p>
          <w:p w14:paraId="0E53CD55">
            <w:pPr>
              <w:snapToGrid w:val="0"/>
              <w:jc w:val="both"/>
              <w:rPr>
                <w:rFonts w:hint="eastAsia" w:ascii="宋体" w:hAnsi="宋体" w:eastAsia="宋体" w:cs="宋体"/>
                <w:color w:val="000000"/>
                <w:kern w:val="0"/>
                <w:sz w:val="24"/>
                <w:lang w:eastAsia="zh-CN"/>
              </w:rPr>
            </w:pPr>
          </w:p>
          <w:p w14:paraId="025AB323">
            <w:pPr>
              <w:snapToGrid w:val="0"/>
              <w:jc w:val="both"/>
              <w:rPr>
                <w:rFonts w:hint="eastAsia" w:ascii="宋体" w:hAnsi="宋体" w:eastAsia="宋体" w:cs="宋体"/>
                <w:color w:val="000000"/>
                <w:kern w:val="0"/>
                <w:sz w:val="24"/>
                <w:lang w:eastAsia="zh-CN"/>
              </w:rPr>
            </w:pPr>
            <w:r>
              <w:rPr>
                <w:rFonts w:hint="eastAsia" w:ascii="宋体" w:hAnsi="宋体" w:eastAsia="宋体" w:cs="宋体"/>
                <w:color w:val="000000"/>
                <w:kern w:val="0"/>
                <w:sz w:val="24"/>
                <w:lang w:eastAsia="zh-CN"/>
              </w:rPr>
              <w:t>通过运用内容分析法对学生“接纳自己”课后作业，进行归纳、整理、分析，提高学生创新思维能力。</w:t>
            </w:r>
          </w:p>
        </w:tc>
      </w:tr>
      <w:tr w14:paraId="17357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22" w:type="dxa"/>
            <w:vAlign w:val="center"/>
          </w:tcPr>
          <w:p w14:paraId="30A58D63">
            <w:pPr>
              <w:snapToGrid w:val="0"/>
              <w:jc w:val="center"/>
              <w:rPr>
                <w:rFonts w:hint="default" w:ascii="宋体" w:hAnsi="宋体" w:eastAsia="宋体" w:cs="宋体"/>
                <w:color w:val="000000"/>
                <w:kern w:val="0"/>
                <w:sz w:val="24"/>
                <w:lang w:val="en-US" w:eastAsia="zh-CN"/>
              </w:rPr>
            </w:pPr>
            <w:r>
              <w:rPr>
                <w:rFonts w:hint="eastAsia" w:ascii="宋体" w:hAnsi="宋体" w:eastAsia="宋体" w:cs="宋体"/>
                <w:color w:val="000000"/>
                <w:kern w:val="0"/>
                <w:sz w:val="24"/>
                <w:lang w:val="en-US" w:eastAsia="zh-CN"/>
              </w:rPr>
              <w:t>6</w:t>
            </w:r>
          </w:p>
        </w:tc>
        <w:tc>
          <w:tcPr>
            <w:tcW w:w="1545" w:type="dxa"/>
            <w:vAlign w:val="center"/>
          </w:tcPr>
          <w:p w14:paraId="54388806">
            <w:pPr>
              <w:snapToGrid w:val="0"/>
              <w:jc w:val="center"/>
              <w:rPr>
                <w:rFonts w:hint="default" w:ascii="宋体" w:hAnsi="宋体" w:eastAsia="宋体" w:cs="宋体"/>
                <w:color w:val="000000"/>
                <w:kern w:val="0"/>
                <w:sz w:val="24"/>
                <w:lang w:val="en-US" w:eastAsia="zh-CN"/>
              </w:rPr>
            </w:pPr>
            <w:r>
              <w:rPr>
                <w:rFonts w:hint="eastAsia" w:ascii="宋体" w:hAnsi="宋体" w:eastAsia="宋体" w:cs="宋体"/>
                <w:color w:val="000000"/>
                <w:kern w:val="0"/>
                <w:sz w:val="24"/>
                <w:lang w:val="en-US" w:eastAsia="zh-CN"/>
              </w:rPr>
              <w:t>心身疾病</w:t>
            </w:r>
          </w:p>
        </w:tc>
        <w:tc>
          <w:tcPr>
            <w:tcW w:w="4787" w:type="dxa"/>
            <w:vAlign w:val="center"/>
          </w:tcPr>
          <w:p w14:paraId="40155BAD">
            <w:pPr>
              <w:snapToGrid w:val="0"/>
              <w:jc w:val="both"/>
              <w:rPr>
                <w:rFonts w:hint="eastAsia" w:ascii="宋体" w:hAnsi="宋体" w:eastAsia="宋体" w:cs="宋体"/>
                <w:color w:val="000000"/>
                <w:kern w:val="0"/>
                <w:sz w:val="24"/>
                <w:lang w:eastAsia="zh-CN"/>
              </w:rPr>
            </w:pPr>
            <w:r>
              <w:rPr>
                <w:rFonts w:hint="eastAsia" w:ascii="宋体" w:hAnsi="宋体" w:eastAsia="宋体" w:cs="宋体"/>
                <w:color w:val="000000"/>
                <w:kern w:val="0"/>
                <w:sz w:val="24"/>
                <w:lang w:eastAsia="zh-CN"/>
              </w:rPr>
              <w:t>心脑血管疾病防治政策：</w:t>
            </w:r>
          </w:p>
          <w:p w14:paraId="29C041AE">
            <w:pPr>
              <w:snapToGrid w:val="0"/>
              <w:jc w:val="both"/>
              <w:rPr>
                <w:rFonts w:hint="eastAsia" w:ascii="宋体" w:hAnsi="宋体" w:eastAsia="宋体" w:cs="宋体"/>
                <w:color w:val="000000"/>
                <w:kern w:val="0"/>
                <w:sz w:val="24"/>
                <w:lang w:eastAsia="zh-CN"/>
              </w:rPr>
            </w:pPr>
          </w:p>
          <w:p w14:paraId="48E65181">
            <w:pPr>
              <w:snapToGrid w:val="0"/>
              <w:jc w:val="both"/>
              <w:rPr>
                <w:rFonts w:hint="eastAsia" w:ascii="宋体" w:hAnsi="宋体" w:eastAsia="宋体" w:cs="宋体"/>
                <w:color w:val="000000"/>
                <w:kern w:val="0"/>
                <w:sz w:val="24"/>
                <w:lang w:eastAsia="zh-CN"/>
              </w:rPr>
            </w:pPr>
            <w:r>
              <w:rPr>
                <w:rFonts w:hint="eastAsia" w:ascii="宋体" w:hAnsi="宋体" w:eastAsia="宋体" w:cs="宋体"/>
                <w:color w:val="000000"/>
                <w:kern w:val="0"/>
                <w:sz w:val="24"/>
                <w:lang w:eastAsia="zh-CN"/>
              </w:rPr>
              <w:t>心脑血管疾病防治被纳入《“健康中国2030”规划纲要》和《中国防治慢性病中长期规划(2017-2025年)》等重要政策文件2。</w:t>
            </w:r>
          </w:p>
          <w:p w14:paraId="54C82E23">
            <w:pPr>
              <w:snapToGrid w:val="0"/>
              <w:jc w:val="both"/>
              <w:rPr>
                <w:rFonts w:hint="eastAsia" w:ascii="宋体" w:hAnsi="宋体" w:eastAsia="宋体" w:cs="宋体"/>
                <w:color w:val="000000"/>
                <w:kern w:val="0"/>
                <w:sz w:val="24"/>
                <w:lang w:eastAsia="zh-CN"/>
              </w:rPr>
            </w:pPr>
            <w:r>
              <w:rPr>
                <w:rFonts w:hint="eastAsia" w:ascii="宋体" w:hAnsi="宋体" w:eastAsia="宋体" w:cs="宋体"/>
                <w:color w:val="000000"/>
                <w:kern w:val="0"/>
                <w:sz w:val="24"/>
                <w:lang w:eastAsia="zh-CN"/>
              </w:rPr>
              <w:t>《实施方案》强调预防为主、防治结合，持续完善慢性病防治政策支持体系，加强与相关部门合作配合，推进心脑血管疾病早期筛查、早诊早治、科普宣教和能力培训。</w:t>
            </w:r>
          </w:p>
          <w:p w14:paraId="2BAC10E5">
            <w:pPr>
              <w:snapToGrid w:val="0"/>
              <w:jc w:val="both"/>
              <w:rPr>
                <w:rFonts w:hint="eastAsia" w:ascii="宋体" w:hAnsi="宋体" w:eastAsia="宋体" w:cs="宋体"/>
                <w:color w:val="000000"/>
                <w:kern w:val="0"/>
                <w:sz w:val="24"/>
                <w:lang w:eastAsia="zh-CN"/>
              </w:rPr>
            </w:pPr>
            <w:r>
              <w:drawing>
                <wp:inline distT="0" distB="0" distL="114300" distR="114300">
                  <wp:extent cx="2874010" cy="4523105"/>
                  <wp:effectExtent l="0" t="0" r="2540" b="1079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4"/>
                          <a:stretch>
                            <a:fillRect/>
                          </a:stretch>
                        </pic:blipFill>
                        <pic:spPr>
                          <a:xfrm>
                            <a:off x="0" y="0"/>
                            <a:ext cx="2874010" cy="4523105"/>
                          </a:xfrm>
                          <a:prstGeom prst="rect">
                            <a:avLst/>
                          </a:prstGeom>
                        </pic:spPr>
                      </pic:pic>
                    </a:graphicData>
                  </a:graphic>
                </wp:inline>
              </w:drawing>
            </w:r>
          </w:p>
          <w:p w14:paraId="2189FDB9">
            <w:pPr>
              <w:snapToGrid w:val="0"/>
              <w:jc w:val="both"/>
              <w:rPr>
                <w:rFonts w:hint="eastAsia" w:ascii="宋体" w:hAnsi="宋体" w:eastAsia="宋体" w:cs="宋体"/>
                <w:color w:val="000000"/>
                <w:kern w:val="0"/>
                <w:sz w:val="24"/>
                <w:lang w:eastAsia="zh-CN"/>
              </w:rPr>
            </w:pPr>
          </w:p>
          <w:p w14:paraId="3CB1CA48">
            <w:pPr>
              <w:snapToGrid w:val="0"/>
              <w:jc w:val="both"/>
              <w:rPr>
                <w:rFonts w:hint="eastAsia" w:ascii="宋体" w:hAnsi="宋体" w:eastAsia="宋体" w:cs="宋体"/>
                <w:color w:val="000000"/>
                <w:kern w:val="0"/>
                <w:sz w:val="24"/>
                <w:lang w:eastAsia="zh-CN"/>
              </w:rPr>
            </w:pPr>
            <w:r>
              <w:rPr>
                <w:rFonts w:hint="eastAsia" w:ascii="宋体" w:hAnsi="宋体" w:eastAsia="宋体" w:cs="宋体"/>
                <w:color w:val="000000"/>
                <w:kern w:val="0"/>
                <w:sz w:val="24"/>
                <w:lang w:val="en-US" w:eastAsia="zh-CN"/>
              </w:rPr>
              <w:t>通过引用国家政策，以及社区发布的“两癌”免费筛查通知，强调国家对身心疾病的重视，对人民健康的重视。</w:t>
            </w:r>
          </w:p>
          <w:p w14:paraId="40CDE6EA">
            <w:pPr>
              <w:snapToGrid w:val="0"/>
              <w:jc w:val="both"/>
              <w:rPr>
                <w:rFonts w:hint="eastAsia" w:ascii="宋体" w:hAnsi="宋体" w:eastAsia="宋体" w:cs="宋体"/>
                <w:color w:val="000000"/>
                <w:kern w:val="0"/>
                <w:sz w:val="24"/>
                <w:lang w:eastAsia="zh-CN"/>
              </w:rPr>
            </w:pPr>
          </w:p>
        </w:tc>
        <w:tc>
          <w:tcPr>
            <w:tcW w:w="1258" w:type="dxa"/>
            <w:vAlign w:val="center"/>
          </w:tcPr>
          <w:p w14:paraId="3AA6EF13">
            <w:pPr>
              <w:snapToGrid w:val="0"/>
              <w:jc w:val="center"/>
              <w:rPr>
                <w:rFonts w:hint="eastAsia" w:ascii="宋体" w:hAnsi="宋体" w:eastAsia="宋体" w:cs="宋体"/>
                <w:color w:val="000000"/>
                <w:kern w:val="0"/>
                <w:sz w:val="24"/>
                <w:lang w:val="en-US" w:eastAsia="zh-CN"/>
              </w:rPr>
            </w:pPr>
            <w:r>
              <w:rPr>
                <w:rFonts w:hint="eastAsia" w:ascii="宋体" w:hAnsi="宋体" w:eastAsia="宋体" w:cs="宋体"/>
                <w:color w:val="000000"/>
                <w:kern w:val="0"/>
                <w:sz w:val="24"/>
                <w:lang w:val="en-US" w:eastAsia="zh-CN"/>
              </w:rPr>
              <w:t>理论课</w:t>
            </w:r>
          </w:p>
          <w:p w14:paraId="1F9295A5">
            <w:pPr>
              <w:snapToGrid w:val="0"/>
              <w:jc w:val="center"/>
              <w:rPr>
                <w:rFonts w:hint="eastAsia" w:ascii="宋体" w:hAnsi="宋体" w:eastAsia="宋体" w:cs="宋体"/>
                <w:color w:val="000000"/>
                <w:kern w:val="0"/>
                <w:sz w:val="24"/>
                <w:lang w:val="en-US" w:eastAsia="zh-CN"/>
              </w:rPr>
            </w:pPr>
            <w:r>
              <w:rPr>
                <w:rFonts w:hint="eastAsia" w:ascii="宋体" w:hAnsi="宋体" w:eastAsia="宋体" w:cs="宋体"/>
                <w:color w:val="000000"/>
                <w:kern w:val="0"/>
                <w:sz w:val="24"/>
                <w:lang w:val="en-US" w:eastAsia="zh-CN"/>
              </w:rPr>
              <w:t>讲授法</w:t>
            </w:r>
          </w:p>
          <w:p w14:paraId="3C2F9122">
            <w:pPr>
              <w:snapToGrid w:val="0"/>
              <w:jc w:val="center"/>
              <w:rPr>
                <w:rFonts w:hint="default" w:ascii="宋体" w:hAnsi="宋体" w:eastAsia="宋体" w:cs="宋体"/>
                <w:color w:val="000000"/>
                <w:kern w:val="0"/>
                <w:sz w:val="24"/>
                <w:lang w:val="en-US" w:eastAsia="zh-CN"/>
              </w:rPr>
            </w:pPr>
            <w:r>
              <w:rPr>
                <w:rFonts w:hint="eastAsia" w:ascii="宋体" w:hAnsi="宋体" w:eastAsia="宋体" w:cs="宋体"/>
                <w:color w:val="000000"/>
                <w:kern w:val="0"/>
                <w:sz w:val="24"/>
                <w:lang w:val="en-US" w:eastAsia="zh-CN"/>
              </w:rPr>
              <w:t>引用法</w:t>
            </w:r>
          </w:p>
        </w:tc>
        <w:tc>
          <w:tcPr>
            <w:tcW w:w="1875" w:type="dxa"/>
            <w:vAlign w:val="center"/>
          </w:tcPr>
          <w:p w14:paraId="3BBC672C">
            <w:pPr>
              <w:snapToGrid w:val="0"/>
              <w:jc w:val="both"/>
              <w:rPr>
                <w:rFonts w:hint="default" w:ascii="宋体" w:hAnsi="宋体" w:eastAsia="宋体" w:cs="宋体"/>
                <w:color w:val="000000"/>
                <w:kern w:val="0"/>
                <w:sz w:val="24"/>
                <w:lang w:val="en-US" w:eastAsia="zh-CN"/>
              </w:rPr>
            </w:pPr>
            <w:r>
              <w:rPr>
                <w:rFonts w:hint="eastAsia" w:ascii="宋体" w:hAnsi="宋体" w:eastAsia="宋体" w:cs="宋体"/>
                <w:color w:val="000000"/>
                <w:kern w:val="0"/>
                <w:sz w:val="24"/>
                <w:lang w:val="en-US" w:eastAsia="zh-CN"/>
              </w:rPr>
              <w:t>通过对国家政策的解读，强调国家对身心疾病的重视，对人民健康的重视。激励学生学好身心疾病的心理护理，也激发学生的爱国情怀，为生活在这样有爱的国家而自豪！更加有激情将自己的精力投入到为人民健康服务的事业中去！</w:t>
            </w:r>
          </w:p>
          <w:p w14:paraId="63028AD5">
            <w:pPr>
              <w:snapToGrid w:val="0"/>
              <w:jc w:val="both"/>
              <w:rPr>
                <w:rFonts w:hint="eastAsia" w:ascii="宋体" w:hAnsi="宋体" w:eastAsia="宋体" w:cs="宋体"/>
                <w:color w:val="000000"/>
                <w:kern w:val="0"/>
                <w:sz w:val="24"/>
                <w:lang w:eastAsia="zh-CN"/>
              </w:rPr>
            </w:pPr>
          </w:p>
        </w:tc>
      </w:tr>
      <w:tr w14:paraId="380AA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22" w:type="dxa"/>
            <w:vAlign w:val="center"/>
          </w:tcPr>
          <w:p w14:paraId="05706D7C">
            <w:pPr>
              <w:snapToGrid w:val="0"/>
              <w:jc w:val="center"/>
              <w:rPr>
                <w:rFonts w:hint="default" w:ascii="宋体" w:hAnsi="宋体" w:eastAsia="宋体" w:cs="宋体"/>
                <w:color w:val="000000"/>
                <w:kern w:val="0"/>
                <w:sz w:val="24"/>
                <w:lang w:val="en-US" w:eastAsia="zh-CN"/>
              </w:rPr>
            </w:pPr>
            <w:r>
              <w:rPr>
                <w:rFonts w:hint="eastAsia" w:ascii="宋体" w:hAnsi="宋体" w:eastAsia="宋体" w:cs="宋体"/>
                <w:color w:val="000000"/>
                <w:kern w:val="0"/>
                <w:sz w:val="24"/>
                <w:lang w:val="en-US" w:eastAsia="zh-CN"/>
              </w:rPr>
              <w:t>7</w:t>
            </w:r>
            <w:bookmarkStart w:id="0" w:name="_GoBack"/>
            <w:bookmarkEnd w:id="0"/>
          </w:p>
        </w:tc>
        <w:tc>
          <w:tcPr>
            <w:tcW w:w="1545" w:type="dxa"/>
            <w:vAlign w:val="center"/>
          </w:tcPr>
          <w:p w14:paraId="521700AA">
            <w:pPr>
              <w:snapToGrid w:val="0"/>
              <w:jc w:val="center"/>
              <w:rPr>
                <w:rFonts w:hint="eastAsia" w:ascii="宋体" w:hAnsi="宋体" w:eastAsia="宋体" w:cs="宋体"/>
                <w:color w:val="000000"/>
                <w:kern w:val="0"/>
                <w:sz w:val="24"/>
                <w:lang w:val="en-US" w:eastAsia="zh-CN"/>
              </w:rPr>
            </w:pPr>
            <w:r>
              <w:rPr>
                <w:rFonts w:hint="eastAsia" w:ascii="宋体" w:hAnsi="宋体" w:eastAsia="宋体" w:cs="宋体"/>
                <w:color w:val="000000"/>
                <w:kern w:val="0"/>
                <w:sz w:val="24"/>
                <w:lang w:val="en-US" w:eastAsia="zh-CN"/>
              </w:rPr>
              <w:t>病人的心理需要</w:t>
            </w:r>
          </w:p>
        </w:tc>
        <w:tc>
          <w:tcPr>
            <w:tcW w:w="4787" w:type="dxa"/>
            <w:vAlign w:val="center"/>
          </w:tcPr>
          <w:p w14:paraId="02E9D84A">
            <w:pPr>
              <w:snapToGrid w:val="0"/>
              <w:jc w:val="both"/>
              <w:rPr>
                <w:rFonts w:hint="eastAsia" w:ascii="宋体" w:hAnsi="宋体" w:eastAsia="宋体" w:cs="宋体"/>
                <w:color w:val="000000"/>
                <w:kern w:val="0"/>
                <w:sz w:val="24"/>
                <w:lang w:eastAsia="zh-CN"/>
              </w:rPr>
            </w:pPr>
            <w:r>
              <w:rPr>
                <w:rFonts w:hint="eastAsia" w:ascii="宋体" w:hAnsi="宋体" w:eastAsia="宋体" w:cs="宋体"/>
                <w:color w:val="000000"/>
                <w:kern w:val="0"/>
                <w:sz w:val="24"/>
                <w:szCs w:val="24"/>
                <w:lang w:val="en-US" w:eastAsia="zh-CN"/>
              </w:rPr>
              <w:t>播放火神山医院重症医学科护士陈静</w:t>
            </w:r>
            <w:r>
              <w:rPr>
                <w:rFonts w:hint="eastAsia" w:ascii="宋体" w:hAnsi="宋体" w:eastAsia="宋体" w:cs="宋体"/>
                <w:i w:val="0"/>
                <w:iCs w:val="0"/>
                <w:caps w:val="0"/>
                <w:color w:val="0C0D0F"/>
                <w:spacing w:val="0"/>
                <w:sz w:val="24"/>
                <w:szCs w:val="24"/>
                <w:shd w:val="clear" w:fill="FFFFFF"/>
              </w:rPr>
              <w:t>制作超萌</w:t>
            </w:r>
            <w:r>
              <w:rPr>
                <w:rFonts w:hint="eastAsia" w:ascii="宋体" w:hAnsi="宋体" w:eastAsia="宋体" w:cs="宋体"/>
                <w:i w:val="0"/>
                <w:iCs w:val="0"/>
                <w:caps w:val="0"/>
                <w:color w:val="0C0D0F"/>
                <w:spacing w:val="0"/>
                <w:sz w:val="24"/>
                <w:szCs w:val="24"/>
                <w:shd w:val="clear" w:fill="FFFFFF"/>
                <w:lang w:eastAsia="zh-CN"/>
              </w:rPr>
              <w:t>《</w:t>
            </w:r>
            <w:r>
              <w:rPr>
                <w:rFonts w:hint="eastAsia" w:ascii="宋体" w:hAnsi="宋体" w:eastAsia="宋体" w:cs="宋体"/>
                <w:i w:val="0"/>
                <w:iCs w:val="0"/>
                <w:caps w:val="0"/>
                <w:color w:val="0C0D0F"/>
                <w:spacing w:val="0"/>
                <w:sz w:val="24"/>
                <w:szCs w:val="24"/>
                <w:shd w:val="clear" w:fill="FFFFFF"/>
              </w:rPr>
              <w:t>新冠护患沟通手册</w:t>
            </w:r>
            <w:r>
              <w:rPr>
                <w:rFonts w:hint="eastAsia" w:ascii="宋体" w:hAnsi="宋体" w:eastAsia="宋体" w:cs="宋体"/>
                <w:i w:val="0"/>
                <w:iCs w:val="0"/>
                <w:caps w:val="0"/>
                <w:color w:val="0C0D0F"/>
                <w:spacing w:val="0"/>
                <w:sz w:val="24"/>
                <w:szCs w:val="24"/>
                <w:shd w:val="clear" w:fill="FFFFFF"/>
                <w:lang w:eastAsia="zh-CN"/>
              </w:rPr>
              <w:t>》</w:t>
            </w:r>
            <w:r>
              <w:rPr>
                <w:rFonts w:hint="eastAsia" w:ascii="宋体" w:hAnsi="宋体" w:eastAsia="宋体" w:cs="宋体"/>
                <w:i w:val="0"/>
                <w:iCs w:val="0"/>
                <w:caps w:val="0"/>
                <w:color w:val="0C0D0F"/>
                <w:spacing w:val="0"/>
                <w:sz w:val="24"/>
                <w:szCs w:val="24"/>
                <w:shd w:val="clear" w:fill="FFFFFF"/>
                <w:lang w:val="en-US" w:eastAsia="zh-CN"/>
              </w:rPr>
              <w:t>视频，https://www.ixigua.com/6799487763092603396</w:t>
            </w:r>
            <w:r>
              <w:rPr>
                <w:rFonts w:hint="eastAsia" w:ascii="宋体" w:hAnsi="宋体" w:eastAsia="宋体" w:cs="宋体"/>
                <w:i w:val="0"/>
                <w:iCs w:val="0"/>
                <w:caps w:val="0"/>
                <w:spacing w:val="0"/>
                <w:sz w:val="24"/>
                <w:szCs w:val="24"/>
                <w:shd w:val="clear" w:fill="FFFFFF"/>
              </w:rPr>
              <w:t>引导学生思考病人在患病过程中的无助和脆弱，培养学生的同理心和关爱他人的意识，</w:t>
            </w:r>
            <w:r>
              <w:rPr>
                <w:rFonts w:hint="eastAsia" w:ascii="宋体" w:hAnsi="宋体" w:eastAsia="宋体" w:cs="宋体"/>
                <w:i w:val="0"/>
                <w:iCs w:val="0"/>
                <w:caps w:val="0"/>
                <w:spacing w:val="0"/>
                <w:sz w:val="24"/>
                <w:szCs w:val="24"/>
                <w:shd w:val="clear" w:fill="FFFFFF"/>
                <w:lang w:val="en-US" w:eastAsia="zh-CN"/>
              </w:rPr>
              <w:t>甘于奉献，救死扶伤的医者精神</w:t>
            </w:r>
            <w:r>
              <w:rPr>
                <w:rFonts w:hint="eastAsia" w:ascii="宋体" w:hAnsi="宋体" w:eastAsia="宋体" w:cs="宋体"/>
                <w:i w:val="0"/>
                <w:iCs w:val="0"/>
                <w:caps w:val="0"/>
                <w:spacing w:val="0"/>
                <w:sz w:val="24"/>
                <w:szCs w:val="24"/>
                <w:shd w:val="clear" w:fill="FFFFFF"/>
              </w:rPr>
              <w:t>，增强学生的职业认同感和责任感。</w:t>
            </w:r>
          </w:p>
        </w:tc>
        <w:tc>
          <w:tcPr>
            <w:tcW w:w="1258" w:type="dxa"/>
            <w:vAlign w:val="center"/>
          </w:tcPr>
          <w:p w14:paraId="754D35E6">
            <w:pPr>
              <w:snapToGrid w:val="0"/>
              <w:jc w:val="center"/>
              <w:rPr>
                <w:rFonts w:hint="eastAsia" w:ascii="宋体" w:hAnsi="宋体" w:eastAsia="宋体" w:cs="宋体"/>
                <w:color w:val="000000"/>
                <w:kern w:val="0"/>
                <w:sz w:val="24"/>
                <w:lang w:val="en-US" w:eastAsia="zh-CN"/>
              </w:rPr>
            </w:pPr>
            <w:r>
              <w:rPr>
                <w:rFonts w:hint="eastAsia" w:ascii="宋体" w:hAnsi="宋体" w:eastAsia="宋体" w:cs="宋体"/>
                <w:color w:val="000000"/>
                <w:kern w:val="0"/>
                <w:sz w:val="24"/>
                <w:lang w:val="en-US" w:eastAsia="zh-CN"/>
              </w:rPr>
              <w:t>理论课</w:t>
            </w:r>
          </w:p>
          <w:p w14:paraId="39CFE726">
            <w:pPr>
              <w:snapToGrid w:val="0"/>
              <w:jc w:val="center"/>
              <w:rPr>
                <w:rFonts w:hint="eastAsia" w:ascii="宋体" w:hAnsi="宋体" w:eastAsia="宋体" w:cs="宋体"/>
                <w:color w:val="000000"/>
                <w:kern w:val="0"/>
                <w:sz w:val="24"/>
                <w:lang w:val="en-US" w:eastAsia="zh-CN"/>
              </w:rPr>
            </w:pPr>
            <w:r>
              <w:rPr>
                <w:rFonts w:hint="eastAsia" w:ascii="宋体" w:hAnsi="宋体" w:eastAsia="宋体" w:cs="宋体"/>
                <w:color w:val="000000"/>
                <w:kern w:val="0"/>
                <w:sz w:val="24"/>
                <w:lang w:val="en-US" w:eastAsia="zh-CN"/>
              </w:rPr>
              <w:t>启发式</w:t>
            </w:r>
          </w:p>
          <w:p w14:paraId="7C461DE1">
            <w:pPr>
              <w:snapToGrid w:val="0"/>
              <w:jc w:val="center"/>
              <w:rPr>
                <w:rFonts w:hint="eastAsia" w:ascii="宋体" w:hAnsi="宋体" w:eastAsia="宋体" w:cs="宋体"/>
                <w:color w:val="000000"/>
                <w:kern w:val="0"/>
                <w:sz w:val="24"/>
                <w:lang w:val="en-US" w:eastAsia="zh-CN"/>
              </w:rPr>
            </w:pPr>
            <w:r>
              <w:rPr>
                <w:rFonts w:hint="eastAsia" w:ascii="宋体" w:hAnsi="宋体" w:eastAsia="宋体" w:cs="宋体"/>
                <w:color w:val="000000"/>
                <w:kern w:val="0"/>
                <w:sz w:val="24"/>
                <w:lang w:val="en-US" w:eastAsia="zh-CN"/>
              </w:rPr>
              <w:t>讲授法</w:t>
            </w:r>
          </w:p>
        </w:tc>
        <w:tc>
          <w:tcPr>
            <w:tcW w:w="1875" w:type="dxa"/>
            <w:vAlign w:val="center"/>
          </w:tcPr>
          <w:p w14:paraId="61792D85">
            <w:pPr>
              <w:snapToGrid w:val="0"/>
              <w:jc w:val="both"/>
              <w:rPr>
                <w:rFonts w:hint="eastAsia" w:ascii="宋体" w:hAnsi="宋体" w:eastAsia="宋体" w:cs="宋体"/>
                <w:color w:val="000000"/>
                <w:kern w:val="0"/>
                <w:sz w:val="24"/>
                <w:lang w:eastAsia="zh-CN"/>
              </w:rPr>
            </w:pPr>
            <w:r>
              <w:rPr>
                <w:rFonts w:hint="eastAsia" w:ascii="宋体" w:hAnsi="宋体" w:eastAsia="宋体" w:cs="宋体"/>
                <w:i w:val="0"/>
                <w:iCs w:val="0"/>
                <w:caps w:val="0"/>
                <w:spacing w:val="0"/>
                <w:sz w:val="24"/>
                <w:szCs w:val="24"/>
                <w:shd w:val="clear" w:fill="FFFFFF"/>
                <w:lang w:val="en-US" w:eastAsia="zh-CN"/>
              </w:rPr>
              <w:t>通过视频的观看，</w:t>
            </w:r>
            <w:r>
              <w:rPr>
                <w:rFonts w:hint="eastAsia" w:ascii="宋体" w:hAnsi="宋体" w:eastAsia="宋体" w:cs="宋体"/>
                <w:i w:val="0"/>
                <w:iCs w:val="0"/>
                <w:caps w:val="0"/>
                <w:spacing w:val="0"/>
                <w:sz w:val="24"/>
                <w:szCs w:val="24"/>
                <w:shd w:val="clear" w:fill="FFFFFF"/>
              </w:rPr>
              <w:t>使学生更加理解病人的处境，增强对病人的关爱之情，培养学生的职业道德素养，使学生明确自己的职业责任，提高职业认同感</w:t>
            </w:r>
            <w:r>
              <w:rPr>
                <w:rFonts w:hint="eastAsia" w:ascii="宋体" w:hAnsi="宋体" w:eastAsia="宋体" w:cs="宋体"/>
                <w:i w:val="0"/>
                <w:iCs w:val="0"/>
                <w:caps w:val="0"/>
                <w:spacing w:val="0"/>
                <w:sz w:val="24"/>
                <w:szCs w:val="24"/>
                <w:shd w:val="clear" w:fill="FFFFFF"/>
                <w:lang w:eastAsia="zh-CN"/>
              </w:rPr>
              <w:t>，</w:t>
            </w:r>
            <w:r>
              <w:rPr>
                <w:rFonts w:hint="eastAsia" w:ascii="宋体" w:hAnsi="宋体" w:eastAsia="宋体" w:cs="宋体"/>
                <w:i w:val="0"/>
                <w:iCs w:val="0"/>
                <w:caps w:val="0"/>
                <w:spacing w:val="0"/>
                <w:sz w:val="24"/>
                <w:szCs w:val="24"/>
                <w:shd w:val="clear" w:fill="FFFFFF"/>
              </w:rPr>
              <w:t>为今后从事护理工作奠定良好的情感基础</w:t>
            </w:r>
            <w:r>
              <w:rPr>
                <w:rFonts w:ascii="Segoe UI" w:hAnsi="Segoe UI" w:eastAsia="Segoe UI" w:cs="Segoe UI"/>
                <w:i w:val="0"/>
                <w:iCs w:val="0"/>
                <w:caps w:val="0"/>
                <w:spacing w:val="0"/>
                <w:sz w:val="16"/>
                <w:szCs w:val="16"/>
                <w:shd w:val="clear" w:fill="FFFFFF"/>
              </w:rPr>
              <w:t>。</w:t>
            </w:r>
          </w:p>
        </w:tc>
      </w:tr>
    </w:tbl>
    <w:p w14:paraId="66BC024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UyYTc1NWM3Njc5OTE2Yjk5MmEyNDg4ZmRhNmNjNGIifQ=="/>
  </w:docVars>
  <w:rsids>
    <w:rsidRoot w:val="00000000"/>
    <w:rsid w:val="2C970AEE"/>
    <w:rsid w:val="4DD74806"/>
    <w:rsid w:val="4F4C3255"/>
    <w:rsid w:val="5F4038F2"/>
    <w:rsid w:val="678579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30"/>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1400</Words>
  <Characters>1416</Characters>
  <Lines>0</Lines>
  <Paragraphs>0</Paragraphs>
  <TotalTime>0</TotalTime>
  <ScaleCrop>false</ScaleCrop>
  <LinksUpToDate>false</LinksUpToDate>
  <CharactersWithSpaces>1418</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2022-02-28T00:55:00Z</dcterms:created>
  <dc:creator>Administrator</dc:creator>
  <cp:lastModifiedBy>Vivian</cp:lastModifiedBy>
  <dcterms:modified xsi:type="dcterms:W3CDTF">2024-09-05T01:07:14Z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E01E96EA18634803A8769E760E0A5733</vt:lpwstr>
  </property>
</Properties>
</file>