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760" w:firstLineChars="4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spacing w:line="560" w:lineRule="exact"/>
        <w:ind w:firstLine="2240" w:firstLineChars="700"/>
        <w:rPr>
          <w:rFonts w:ascii="楷体" w:hAnsi="楷体" w:eastAsia="楷体" w:cs="楷体"/>
          <w:sz w:val="32"/>
          <w:szCs w:val="32"/>
        </w:rPr>
      </w:pPr>
      <w:r>
        <w:rPr>
          <w:rFonts w:hint="eastAsia" w:ascii="楷体" w:hAnsi="楷体" w:eastAsia="楷体" w:cs="楷体"/>
          <w:sz w:val="32"/>
          <w:szCs w:val="32"/>
        </w:rPr>
        <w:t>案例名称 包扎与止血</w:t>
      </w:r>
    </w:p>
    <w:p>
      <w:pPr>
        <w:spacing w:line="560" w:lineRule="exact"/>
        <w:jc w:val="center"/>
        <w:rPr>
          <w:rFonts w:hint="eastAsia" w:ascii="仿宋" w:hAnsi="仿宋" w:eastAsia="楷体" w:cs="仿宋"/>
          <w:b/>
          <w:bCs/>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于政恩</w:t>
      </w:r>
    </w:p>
    <w:p>
      <w:pPr>
        <w:spacing w:line="560" w:lineRule="exact"/>
        <w:jc w:val="center"/>
        <w:rPr>
          <w:rFonts w:ascii="楷体" w:hAnsi="楷体" w:eastAsia="楷体" w:cs="楷体"/>
          <w:sz w:val="32"/>
          <w:szCs w:val="32"/>
        </w:rPr>
      </w:pPr>
      <w:r>
        <w:rPr>
          <w:rFonts w:hint="eastAsia" w:ascii="楷体" w:hAnsi="楷体" w:eastAsia="楷体" w:cs="楷体"/>
          <w:sz w:val="32"/>
          <w:szCs w:val="32"/>
        </w:rPr>
        <w:t>课程名称：成人护理学</w:t>
      </w:r>
      <w:r>
        <w:rPr>
          <w:rFonts w:hint="eastAsia" w:ascii="楷体" w:hAnsi="楷体" w:eastAsia="楷体" w:cs="楷体"/>
          <w:sz w:val="32"/>
          <w:szCs w:val="32"/>
        </w:rPr>
        <w:tab/>
      </w:r>
      <w:r>
        <w:rPr>
          <w:rFonts w:hint="eastAsia" w:ascii="楷体" w:hAnsi="楷体" w:eastAsia="楷体" w:cs="楷体"/>
          <w:sz w:val="32"/>
          <w:szCs w:val="32"/>
        </w:rPr>
        <w:t>课程性质：必修课</w:t>
      </w:r>
    </w:p>
    <w:p>
      <w:pPr>
        <w:spacing w:line="560" w:lineRule="exact"/>
        <w:jc w:val="center"/>
        <w:rPr>
          <w:rFonts w:ascii="楷体" w:hAnsi="楷体" w:eastAsia="楷体" w:cs="楷体"/>
          <w:sz w:val="32"/>
          <w:szCs w:val="32"/>
        </w:rPr>
      </w:pPr>
      <w:r>
        <w:rPr>
          <w:rFonts w:hint="eastAsia" w:ascii="楷体" w:hAnsi="楷体" w:eastAsia="楷体" w:cs="楷体"/>
          <w:sz w:val="32"/>
          <w:szCs w:val="32"/>
        </w:rPr>
        <w:t>适用专业：护理学</w:t>
      </w:r>
      <w:r>
        <w:rPr>
          <w:rFonts w:hint="eastAsia" w:ascii="楷体" w:hAnsi="楷体" w:eastAsia="楷体" w:cs="楷体"/>
          <w:sz w:val="32"/>
          <w:szCs w:val="32"/>
        </w:rPr>
        <w:tab/>
      </w:r>
      <w:r>
        <w:rPr>
          <w:rFonts w:hint="eastAsia" w:ascii="楷体" w:hAnsi="楷体" w:eastAsia="楷体" w:cs="楷体"/>
          <w:sz w:val="32"/>
          <w:szCs w:val="32"/>
        </w:rPr>
        <w:t>所属类别：医学</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一、课程简介</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成人护理学是护理专业的核心职业能力课，是关于认识疾病及其防治、护理病人、促进康复、增进健康的重要课程。其教学内容在临床护理学的理论和实践中具有普遍意义。成人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numPr>
          <w:ilvl w:val="0"/>
          <w:numId w:val="1"/>
        </w:numPr>
        <w:spacing w:line="560" w:lineRule="exact"/>
        <w:ind w:firstLine="640" w:firstLineChars="200"/>
        <w:rPr>
          <w:rFonts w:ascii="黑体" w:hAnsi="黑体" w:eastAsia="黑体"/>
          <w:sz w:val="32"/>
          <w:szCs w:val="32"/>
        </w:rPr>
      </w:pPr>
      <w:r>
        <w:rPr>
          <w:rFonts w:hint="eastAsia" w:ascii="黑体" w:hAnsi="黑体" w:eastAsia="黑体"/>
          <w:sz w:val="32"/>
          <w:szCs w:val="32"/>
        </w:rPr>
        <w:t>思政元素挖掘与思政素材选取</w:t>
      </w:r>
    </w:p>
    <w:p>
      <w:pPr>
        <w:spacing w:line="560" w:lineRule="exact"/>
        <w:ind w:firstLine="420" w:firstLineChars="200"/>
        <w:rPr>
          <w:rFonts w:ascii="仿宋" w:hAnsi="仿宋" w:eastAsia="仿宋" w:cs="仿宋"/>
          <w:color w:val="333333"/>
          <w:spacing w:val="9"/>
          <w:sz w:val="32"/>
          <w:szCs w:val="32"/>
          <w:shd w:val="clear" w:color="auto" w:fill="FFFFFF"/>
        </w:rPr>
      </w:pPr>
      <w:r>
        <w:fldChar w:fldCharType="begin"/>
      </w:r>
      <w:r>
        <w:instrText xml:space="preserve"> HYPERLINK "javascript:void(0);" </w:instrText>
      </w:r>
      <w:r>
        <w:fldChar w:fldCharType="separate"/>
      </w:r>
      <w:r>
        <w:rPr>
          <w:rStyle w:val="10"/>
          <w:rFonts w:hint="eastAsia" w:ascii="仿宋" w:hAnsi="仿宋" w:eastAsia="仿宋" w:cs="仿宋"/>
          <w:color w:val="auto"/>
          <w:sz w:val="32"/>
          <w:szCs w:val="32"/>
          <w:u w:val="none"/>
        </w:rPr>
        <w:t>习近平在</w:t>
      </w:r>
      <w:r>
        <w:rPr>
          <w:rStyle w:val="10"/>
          <w:rFonts w:ascii="Times New Roman" w:hAnsi="Times New Roman" w:eastAsia="仿宋" w:cs="Times New Roman"/>
          <w:color w:val="auto"/>
          <w:sz w:val="32"/>
          <w:szCs w:val="32"/>
          <w:u w:val="none"/>
        </w:rPr>
        <w:t>2016</w:t>
      </w:r>
      <w:r>
        <w:rPr>
          <w:rStyle w:val="10"/>
          <w:rFonts w:ascii="Times New Roman" w:hAnsi="Times New Roman" w:eastAsia="仿宋" w:cs="Times New Roman"/>
          <w:color w:val="auto"/>
          <w:sz w:val="32"/>
          <w:szCs w:val="32"/>
          <w:u w:val="none"/>
        </w:rPr>
        <w:fldChar w:fldCharType="end"/>
      </w:r>
      <w:r>
        <w:rPr>
          <w:rFonts w:hint="eastAsia" w:ascii="仿宋" w:hAnsi="仿宋" w:eastAsia="仿宋" w:cs="仿宋"/>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ascii="Times New Roman" w:hAnsi="Times New Roman" w:eastAsia="仿宋" w:cs="Times New Roman"/>
          <w:color w:val="333333"/>
          <w:spacing w:val="9"/>
          <w:sz w:val="32"/>
          <w:szCs w:val="32"/>
          <w:shd w:val="clear" w:color="auto" w:fill="FFFFFF"/>
        </w:rPr>
        <w:t>2020</w:t>
      </w:r>
      <w:r>
        <w:rPr>
          <w:rFonts w:hint="eastAsia" w:ascii="仿宋" w:hAnsi="仿宋" w:eastAsia="仿宋" w:cs="仿宋"/>
          <w:color w:val="333333"/>
          <w:spacing w:val="9"/>
          <w:sz w:val="32"/>
          <w:szCs w:val="32"/>
          <w:shd w:val="clear" w:color="auto" w:fill="FFFFFF"/>
        </w:rPr>
        <w:t>年，教育部印发《高等学校课程思政建设指导纲要》提出全面推进课程思政建设是落实立德树人根本任务的战略举措。</w:t>
      </w:r>
      <w:r>
        <w:rPr>
          <w:rStyle w:val="25"/>
          <w:rFonts w:ascii="仿宋" w:hAnsi="仿宋" w:eastAsia="仿宋"/>
          <w:sz w:val="32"/>
          <w:szCs w:val="32"/>
        </w:rPr>
        <w:t>随着时代的发展，思想政治教育已经成为了高校教育的核心内容之一。 对于高校而言，思政课不仅仅是一门课程，更是培养学生思想品质和人文素养的重要途径。为了使得思政课能够真正产生效果，课程中需要打入足够的思政元素和思政素材。</w:t>
      </w:r>
    </w:p>
    <w:p>
      <w:pPr>
        <w:pStyle w:val="24"/>
        <w:ind w:firstLine="480" w:firstLineChars="150"/>
        <w:rPr>
          <w:rFonts w:ascii="仿宋" w:hAnsi="仿宋" w:eastAsia="仿宋"/>
          <w:sz w:val="32"/>
          <w:szCs w:val="32"/>
        </w:rPr>
      </w:pPr>
      <w:r>
        <w:rPr>
          <w:rStyle w:val="25"/>
          <w:rFonts w:ascii="仿宋" w:hAnsi="仿宋" w:eastAsia="仿宋"/>
          <w:sz w:val="32"/>
          <w:szCs w:val="32"/>
        </w:rPr>
        <w:t>思政元素挖掘是一项重要的工作，意味着在日常教育及学习中，寻找蕴含思政意义、蕴含价值、能够启迪人的素材，并从中提取出有力的思想性资源，设法把这些元素运用到思政教育过程中，进而启迪学生自我思索能力并提升思想境界。如何挖掘和选取思政素材是一个重要的课题</w:t>
      </w:r>
      <w:r>
        <w:rPr>
          <w:rStyle w:val="25"/>
          <w:rFonts w:hint="eastAsia" w:ascii="仿宋" w:hAnsi="仿宋" w:eastAsia="仿宋"/>
          <w:sz w:val="32"/>
          <w:szCs w:val="32"/>
        </w:rPr>
        <w:t>。</w:t>
      </w:r>
      <w:r>
        <w:rPr>
          <w:rStyle w:val="25"/>
          <w:rFonts w:ascii="仿宋" w:hAnsi="仿宋" w:eastAsia="仿宋"/>
          <w:sz w:val="32"/>
          <w:szCs w:val="32"/>
        </w:rPr>
        <w:t>思政元素的挖掘不仅仅在于寻找素材，更在于理解和升华。思政素材和元素的选取和挖掘在思政课教学中是非常关键的。在选择素材的过程中，应尽量选择与教学内容相关、有特色的素材；在思政元素的挖掘中，要注重从实际情况中寻找，重视与教学内容的关联。通过科学、严谨的选取和挖掘思政素材及元素，可以提高思政课的教学效果，激发学生对课程的兴趣和参与度，更好地推进高校思政课的教育理念和培养目标的实现。</w:t>
      </w:r>
    </w:p>
    <w:p>
      <w:pPr>
        <w:spacing w:line="560" w:lineRule="exact"/>
        <w:ind w:firstLine="480" w:firstLineChars="150"/>
        <w:rPr>
          <w:rFonts w:ascii="黑体" w:hAnsi="黑体" w:eastAsia="黑体"/>
          <w:sz w:val="32"/>
          <w:szCs w:val="32"/>
        </w:rPr>
      </w:pPr>
      <w:r>
        <w:rPr>
          <w:rFonts w:hint="eastAsia" w:ascii="黑体" w:hAnsi="黑体" w:eastAsia="黑体"/>
          <w:sz w:val="32"/>
          <w:szCs w:val="32"/>
        </w:rPr>
        <w:t>三、课程思政案例设计与实施</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案例名称：</w:t>
      </w:r>
      <w:r>
        <w:rPr>
          <w:rFonts w:hint="eastAsia" w:ascii="仿宋_GB2312" w:hAnsi="仿宋_GB2312" w:eastAsia="仿宋_GB2312" w:cs="仿宋_GB2312"/>
          <w:sz w:val="32"/>
          <w:szCs w:val="32"/>
        </w:rPr>
        <w:t xml:space="preserve"> 包扎与止血</w:t>
      </w:r>
    </w:p>
    <w:p>
      <w:pPr>
        <w:numPr>
          <w:ilvl w:val="0"/>
          <w:numId w:val="2"/>
        </w:num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案例教学目标</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知识目标</w:t>
      </w:r>
    </w:p>
    <w:p>
      <w:pPr>
        <w:spacing w:line="560" w:lineRule="exact"/>
        <w:ind w:left="420" w:leftChars="200" w:firstLine="507" w:firstLineChars="150"/>
        <w:rPr>
          <w:rFonts w:ascii="仿宋" w:hAnsi="仿宋" w:eastAsia="仿宋" w:cs="仿宋"/>
          <w:spacing w:val="9"/>
          <w:sz w:val="32"/>
          <w:szCs w:val="32"/>
          <w:shd w:val="clear" w:color="auto" w:fill="FFFFFF"/>
        </w:rPr>
      </w:pPr>
      <w:r>
        <w:rPr>
          <w:rFonts w:hint="eastAsia" w:ascii="仿宋" w:hAnsi="仿宋" w:eastAsia="仿宋" w:cs="仿宋"/>
          <w:spacing w:val="9"/>
          <w:sz w:val="32"/>
          <w:szCs w:val="32"/>
          <w:shd w:val="clear" w:color="auto" w:fill="FFFFFF"/>
        </w:rPr>
        <w:t>了解包扎与止血的实验目的和要求；熟悉适应症和禁忌症、实验步骤；掌握包扎与止血注意事项及护理配合</w:t>
      </w:r>
    </w:p>
    <w:p>
      <w:pPr>
        <w:spacing w:line="560" w:lineRule="exact"/>
        <w:ind w:firstLine="321" w:firstLineChars="1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能力目标</w:t>
      </w:r>
    </w:p>
    <w:p>
      <w:pPr>
        <w:spacing w:line="560" w:lineRule="exact"/>
        <w:ind w:left="420" w:leftChars="200" w:firstLine="507" w:firstLineChars="150"/>
        <w:rPr>
          <w:rFonts w:ascii="Arial" w:hAnsi="Arial" w:cs="Arial"/>
          <w:spacing w:val="9"/>
          <w:sz w:val="24"/>
          <w:shd w:val="clear" w:color="auto" w:fill="FFFFFF"/>
        </w:rPr>
      </w:pPr>
      <w:r>
        <w:rPr>
          <w:rFonts w:hint="eastAsia" w:ascii="仿宋" w:hAnsi="仿宋" w:eastAsia="仿宋" w:cs="仿宋"/>
          <w:spacing w:val="9"/>
          <w:sz w:val="32"/>
          <w:szCs w:val="32"/>
          <w:shd w:val="clear" w:color="auto" w:fill="FFFFFF"/>
        </w:rPr>
        <w:t>熟练地将护理理论知识运用于临床实践，学会运用护理程序，对外伤患者实施整体护理，促进患者早日康复。</w:t>
      </w:r>
    </w:p>
    <w:p>
      <w:pPr>
        <w:spacing w:line="560" w:lineRule="exact"/>
        <w:ind w:left="420" w:left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价值引领目标</w:t>
      </w:r>
    </w:p>
    <w:p>
      <w:pPr>
        <w:spacing w:line="560" w:lineRule="exact"/>
        <w:ind w:firstLine="676" w:firstLineChars="200"/>
        <w:rPr>
          <w:rFonts w:ascii="仿宋" w:hAnsi="仿宋" w:eastAsia="仿宋" w:cs="仿宋"/>
          <w:color w:val="333333"/>
          <w:spacing w:val="9"/>
          <w:sz w:val="32"/>
          <w:szCs w:val="32"/>
          <w:shd w:val="clear" w:color="auto" w:fill="FFFFFF"/>
        </w:rPr>
      </w:pPr>
      <w:r>
        <w:rPr>
          <w:rFonts w:hint="eastAsia" w:ascii="仿宋" w:hAnsi="仿宋" w:eastAsia="仿宋" w:cs="仿宋"/>
          <w:spacing w:val="9"/>
          <w:sz w:val="32"/>
          <w:szCs w:val="32"/>
          <w:shd w:val="clear" w:color="auto" w:fill="FFFFFF"/>
        </w:rPr>
        <w:t>能够克服惧怕的心理，有高度的责任心和同情心，真正关爱患者；积极投身医疗工作实践，做好人文关怀，成为新时代有理想信念、有责任担当、有高尚职业道德、有专业职业技能的护士。</w:t>
      </w:r>
    </w:p>
    <w:p>
      <w:pPr>
        <w:spacing w:line="560" w:lineRule="exact"/>
        <w:ind w:left="420" w:leftChars="200"/>
        <w:rPr>
          <w:rFonts w:ascii="仿宋_GB2312" w:hAnsi="仿宋_GB2312" w:eastAsia="仿宋_GB2312" w:cs="仿宋_GB2312"/>
          <w:b/>
          <w:bCs/>
          <w:sz w:val="32"/>
          <w:szCs w:val="32"/>
        </w:rPr>
      </w:pPr>
      <w:bookmarkStart w:id="0" w:name="_GoBack"/>
      <w:bookmarkEnd w:id="0"/>
      <w:r>
        <w:rPr>
          <w:rFonts w:hint="eastAsia" w:ascii="仿宋_GB2312" w:hAnsi="仿宋_GB2312" w:eastAsia="仿宋_GB2312" w:cs="仿宋_GB2312"/>
          <w:b/>
          <w:bCs/>
          <w:sz w:val="32"/>
          <w:szCs w:val="32"/>
        </w:rPr>
        <w:t>2.教学组织与实施</w:t>
      </w:r>
    </w:p>
    <w:p>
      <w:pPr>
        <w:pStyle w:val="6"/>
        <w:widowControl/>
        <w:wordWrap w:val="0"/>
        <w:spacing w:before="226" w:beforeAutospacing="0" w:after="0" w:afterAutospacing="0" w:line="480" w:lineRule="atLeast"/>
        <w:ind w:left="300"/>
        <w:jc w:val="both"/>
        <w:rPr>
          <w:rFonts w:ascii="仿宋" w:hAnsi="仿宋" w:eastAsia="仿宋" w:cs="仿宋"/>
          <w:spacing w:val="9"/>
          <w:sz w:val="32"/>
          <w:szCs w:val="32"/>
        </w:rPr>
      </w:pPr>
      <w:r>
        <w:rPr>
          <w:rFonts w:hint="eastAsia" w:ascii="仿宋" w:hAnsi="仿宋" w:eastAsia="仿宋" w:cs="仿宋"/>
          <w:spacing w:val="9"/>
          <w:sz w:val="32"/>
          <w:szCs w:val="32"/>
        </w:rPr>
        <w:t>(1）采用案例导入法使课程思政教学更具有吸引力。通过临床病例、小视频等导入新课，能吸引学生眼球并引发学生对学习的思考。如：通过“新冠疫情”的故事导入新课，让学生思考在大疫面前每个人都有大爱，都能不计成本的付出。对我们工作有什么启示？引导学生要关爱患者，遵守职业道德。</w:t>
      </w:r>
    </w:p>
    <w:p>
      <w:pPr>
        <w:pStyle w:val="6"/>
        <w:widowControl/>
        <w:wordWrap w:val="0"/>
        <w:spacing w:before="226" w:beforeAutospacing="0" w:after="0" w:afterAutospacing="0" w:line="480" w:lineRule="atLeast"/>
        <w:ind w:left="300"/>
        <w:jc w:val="both"/>
        <w:rPr>
          <w:rFonts w:ascii="仿宋" w:hAnsi="仿宋" w:eastAsia="仿宋" w:cs="仿宋"/>
          <w:spacing w:val="9"/>
          <w:sz w:val="32"/>
          <w:szCs w:val="32"/>
        </w:rPr>
      </w:pPr>
      <w:r>
        <w:rPr>
          <w:rFonts w:hint="eastAsia" w:ascii="仿宋" w:hAnsi="仿宋" w:eastAsia="仿宋" w:cs="仿宋"/>
          <w:spacing w:val="9"/>
          <w:sz w:val="32"/>
          <w:szCs w:val="32"/>
        </w:rPr>
        <w:t>(2）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让学生们角色扮演，可模拟手外伤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pStyle w:val="6"/>
        <w:widowControl/>
        <w:wordWrap w:val="0"/>
        <w:spacing w:before="226" w:line="480" w:lineRule="atLeast"/>
        <w:ind w:left="300"/>
        <w:rPr>
          <w:rFonts w:ascii="仿宋" w:hAnsi="仿宋" w:eastAsia="仿宋" w:cs="仿宋"/>
          <w:spacing w:val="9"/>
          <w:sz w:val="32"/>
          <w:szCs w:val="32"/>
        </w:rPr>
      </w:pPr>
      <w:r>
        <w:rPr>
          <w:rFonts w:hint="eastAsia" w:ascii="仿宋" w:hAnsi="仿宋" w:eastAsia="仿宋" w:cs="仿宋"/>
          <w:spacing w:val="9"/>
          <w:sz w:val="32"/>
          <w:szCs w:val="32"/>
        </w:rPr>
        <w:t xml:space="preserve"> (3）采用情景模拟法使课程思政育人效果更加突出。学生分组进行角色扮演，还原护理病人的真实过程。通过沉浸式的教学，培养学生发现问题、解决问题的能力，让学生在实践中学会如何运用理论知识，为患者提供更好的护理服务。过程中不但学习包扎与止血技巧，而且还了解了应急处理的流程和注意事项。同时，同学们还体验了一些模拟场景，提高了实时应变能力和协作能力。在以后的医疗救援工作中，能更加熟练掌握这些技能，为患者提供更好的医疗服务。</w:t>
      </w:r>
    </w:p>
    <w:p>
      <w:pPr>
        <w:pStyle w:val="6"/>
        <w:widowControl/>
        <w:wordWrap w:val="0"/>
        <w:spacing w:before="226" w:beforeAutospacing="0" w:after="0" w:afterAutospacing="0" w:line="480" w:lineRule="atLeast"/>
        <w:ind w:left="300"/>
        <w:jc w:val="both"/>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3.教学效果分析及教学反思</w:t>
      </w:r>
    </w:p>
    <w:p>
      <w:pPr>
        <w:pStyle w:val="3"/>
        <w:widowControl/>
        <w:spacing w:before="150" w:beforeAutospacing="0" w:line="450" w:lineRule="atLeast"/>
        <w:ind w:left="300" w:firstLine="420"/>
        <w:rPr>
          <w:rFonts w:hint="default" w:ascii="仿宋" w:hAnsi="仿宋" w:eastAsia="仿宋" w:cs="仿宋"/>
          <w:b w:val="0"/>
          <w:bCs w:val="0"/>
          <w:spacing w:val="9"/>
          <w:sz w:val="32"/>
          <w:szCs w:val="32"/>
          <w:shd w:val="clear" w:color="auto" w:fill="FFFFFF"/>
        </w:rPr>
      </w:pPr>
      <w:r>
        <w:rPr>
          <w:rFonts w:ascii="仿宋" w:hAnsi="仿宋" w:eastAsia="仿宋" w:cs="仿宋"/>
          <w:b w:val="0"/>
          <w:bCs w:val="0"/>
          <w:spacing w:val="9"/>
          <w:sz w:val="32"/>
          <w:szCs w:val="32"/>
        </w:rPr>
        <w:t>教学有法，但无定法，贵在得法，教师在课程思政教学准备中要根据不同的目标与内容，选择适宜的教学方法，引导学生自主探究思考，提高学生学习的主动性。</w:t>
      </w:r>
      <w:r>
        <w:rPr>
          <w:rFonts w:ascii="仿宋" w:hAnsi="仿宋" w:eastAsia="仿宋" w:cs="仿宋"/>
          <w:b w:val="0"/>
          <w:bCs w:val="0"/>
          <w:spacing w:val="9"/>
          <w:sz w:val="32"/>
          <w:szCs w:val="32"/>
          <w:shd w:val="clear" w:color="auto"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numPr>
          <w:ilvl w:val="0"/>
          <w:numId w:val="3"/>
        </w:num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教学创新</w:t>
      </w:r>
    </w:p>
    <w:p>
      <w:pPr>
        <w:pStyle w:val="6"/>
        <w:widowControl/>
        <w:wordWrap w:val="0"/>
        <w:spacing w:before="226" w:beforeAutospacing="0" w:after="0" w:afterAutospacing="0" w:line="360" w:lineRule="auto"/>
        <w:ind w:firstLine="676" w:firstLineChars="200"/>
        <w:jc w:val="both"/>
        <w:rPr>
          <w:rFonts w:ascii="仿宋" w:hAnsi="仿宋" w:eastAsia="仿宋" w:cs="仿宋"/>
          <w:spacing w:val="9"/>
          <w:sz w:val="32"/>
          <w:szCs w:val="32"/>
        </w:rPr>
      </w:pPr>
      <w:r>
        <w:rPr>
          <w:rFonts w:hint="eastAsia" w:ascii="仿宋" w:hAnsi="仿宋" w:eastAsia="仿宋" w:cs="仿宋"/>
          <w:spacing w:val="9"/>
          <w:sz w:val="32"/>
          <w:szCs w:val="32"/>
        </w:rPr>
        <w:t>课前，通过发布预习课件，与学生进行充分的交流讨论，得到反馈，调整教案，形成最终授课课件。</w:t>
      </w:r>
    </w:p>
    <w:p>
      <w:pPr>
        <w:pStyle w:val="6"/>
        <w:widowControl/>
        <w:wordWrap w:val="0"/>
        <w:spacing w:before="226" w:beforeAutospacing="0" w:after="0" w:afterAutospacing="0" w:line="360" w:lineRule="auto"/>
        <w:ind w:firstLine="676" w:firstLineChars="200"/>
        <w:jc w:val="both"/>
        <w:rPr>
          <w:rFonts w:ascii="仿宋" w:hAnsi="仿宋" w:eastAsia="仿宋" w:cs="仿宋"/>
          <w:spacing w:val="9"/>
          <w:sz w:val="32"/>
          <w:szCs w:val="32"/>
        </w:rPr>
      </w:pPr>
      <w:r>
        <w:rPr>
          <w:rFonts w:hint="eastAsia" w:ascii="仿宋" w:hAnsi="仿宋" w:eastAsia="仿宋" w:cs="仿宋"/>
          <w:spacing w:val="9"/>
          <w:sz w:val="32"/>
          <w:szCs w:val="32"/>
        </w:rPr>
        <w:t>在课堂上，通过问题启发、情景模拟、实践操作方法使学生的思维动起来，使课堂的气氛活起来，同时配合课堂测验，增强学习效果。</w:t>
      </w:r>
    </w:p>
    <w:p>
      <w:pPr>
        <w:pStyle w:val="6"/>
        <w:widowControl/>
        <w:wordWrap w:val="0"/>
        <w:spacing w:before="226" w:beforeAutospacing="0" w:after="0" w:afterAutospacing="0" w:line="360" w:lineRule="auto"/>
        <w:ind w:firstLine="676" w:firstLineChars="200"/>
        <w:jc w:val="both"/>
        <w:rPr>
          <w:rFonts w:ascii="仿宋_GB2312" w:hAnsi="仿宋_GB2312" w:eastAsia="仿宋_GB2312" w:cs="仿宋_GB2312"/>
          <w:b/>
          <w:bCs/>
          <w:sz w:val="32"/>
          <w:szCs w:val="32"/>
        </w:rPr>
      </w:pPr>
      <w:r>
        <w:rPr>
          <w:rFonts w:hint="eastAsia" w:ascii="仿宋" w:hAnsi="仿宋" w:eastAsia="仿宋" w:cs="仿宋"/>
          <w:spacing w:val="9"/>
          <w:sz w:val="32"/>
          <w:szCs w:val="32"/>
        </w:rPr>
        <w:t>在课后，通过发布课后作业，引导学生复习和自学，通过视频作业的形式，培养学生团队合作能力、集体荣誉感。</w:t>
      </w:r>
    </w:p>
    <w:p>
      <w:pPr>
        <w:numPr>
          <w:ilvl w:val="0"/>
          <w:numId w:val="3"/>
        </w:num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课程思政的理念与内涵</w:t>
      </w:r>
    </w:p>
    <w:p>
      <w:pPr>
        <w:widowControl/>
        <w:ind w:firstLine="640" w:firstLineChars="200"/>
        <w:jc w:val="left"/>
        <w:rPr>
          <w:rFonts w:ascii="仿宋" w:hAnsi="仿宋" w:eastAsia="仿宋" w:cs="仿宋"/>
          <w:sz w:val="32"/>
          <w:szCs w:val="32"/>
        </w:rPr>
      </w:pPr>
      <w:r>
        <w:rPr>
          <w:rFonts w:hint="eastAsia" w:ascii="仿宋" w:hAnsi="仿宋" w:eastAsia="仿宋" w:cs="仿宋"/>
          <w:kern w:val="0"/>
          <w:sz w:val="32"/>
          <w:szCs w:val="32"/>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spacing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6.专业知识与思政元素的有机融合</w:t>
      </w:r>
    </w:p>
    <w:p>
      <w:pPr>
        <w:spacing w:line="360" w:lineRule="auto"/>
        <w:ind w:firstLine="676" w:firstLineChars="200"/>
        <w:rPr>
          <w:rFonts w:ascii="仿宋" w:hAnsi="仿宋" w:eastAsia="仿宋" w:cs="仿宋"/>
          <w:sz w:val="32"/>
          <w:szCs w:val="32"/>
        </w:rPr>
      </w:pPr>
      <w:r>
        <w:rPr>
          <w:rFonts w:ascii="Times New Roman" w:hAnsi="Times New Roman" w:eastAsia="仿宋" w:cs="Times New Roman"/>
          <w:spacing w:val="9"/>
          <w:sz w:val="32"/>
          <w:szCs w:val="32"/>
          <w:shd w:val="clear" w:color="auto" w:fill="FFFFFF"/>
        </w:rPr>
        <w:t>2020年5月</w:t>
      </w:r>
      <w:r>
        <w:rPr>
          <w:rFonts w:hint="eastAsia" w:ascii="仿宋" w:hAnsi="仿宋" w:eastAsia="仿宋" w:cs="仿宋"/>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成人护理学”是专升本学生需要学习一年的专业必修课，分上下两部分。融合了“内科护理学”“外科护理学”等专业课程，同时为学生临床实习奠定了理论基础，与护理科研和国家护理事业的发展密不可分。</w:t>
      </w:r>
      <w:r>
        <w:rPr>
          <w:rFonts w:ascii="Times New Roman" w:hAnsi="Times New Roman" w:eastAsia="仿宋" w:cs="Times New Roman"/>
          <w:spacing w:val="9"/>
          <w:sz w:val="32"/>
          <w:szCs w:val="32"/>
          <w:shd w:val="clear" w:color="auto" w:fill="FFFFFF"/>
        </w:rPr>
        <w:t>2021年12月2日</w:t>
      </w:r>
      <w:r>
        <w:rPr>
          <w:rFonts w:hint="eastAsia" w:ascii="仿宋" w:hAnsi="仿宋" w:eastAsia="仿宋" w:cs="仿宋"/>
          <w:spacing w:val="9"/>
          <w:sz w:val="32"/>
          <w:szCs w:val="32"/>
          <w:shd w:val="clear" w:color="auto"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方正仿宋_GB2312">
    <w:altName w:val="仿宋"/>
    <w:panose1 w:val="00000000000000000000"/>
    <w:charset w:val="86"/>
    <w:family w:val="auto"/>
    <w:pitch w:val="default"/>
    <w:sig w:usb0="00000000" w:usb1="00000000" w:usb2="00000000"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2"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v:textbox>
        </v:shape>
      </w:pic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2JiYzU0MDRiNmQ4NzMzZDM0ZmRkYWU0NDJlZWZmNzEifQ=="/>
    <w:docVar w:name="KY_MEDREF_DOCUID" w:val="{A847C9A2-A914-4A51-AA4D-E3FB19A7A3ED}"/>
    <w:docVar w:name="KY_MEDREF_VERSION" w:val="3"/>
  </w:docVars>
  <w:rsids>
    <w:rsidRoot w:val="624C18F6"/>
    <w:rsid w:val="00237A29"/>
    <w:rsid w:val="00422DF2"/>
    <w:rsid w:val="00444731"/>
    <w:rsid w:val="00863260"/>
    <w:rsid w:val="00926D4F"/>
    <w:rsid w:val="00B00851"/>
    <w:rsid w:val="00BC6219"/>
    <w:rsid w:val="00C3349B"/>
    <w:rsid w:val="00E9421A"/>
    <w:rsid w:val="00EB52D8"/>
    <w:rsid w:val="00F65505"/>
    <w:rsid w:val="077E62DB"/>
    <w:rsid w:val="09E50E16"/>
    <w:rsid w:val="2E0D4B3F"/>
    <w:rsid w:val="3CD164D2"/>
    <w:rsid w:val="40B60634"/>
    <w:rsid w:val="43823320"/>
    <w:rsid w:val="44CF4EE1"/>
    <w:rsid w:val="46792D10"/>
    <w:rsid w:val="5B3B2504"/>
    <w:rsid w:val="5D9D0C8E"/>
    <w:rsid w:val="624C18F6"/>
    <w:rsid w:val="68DA551E"/>
    <w:rsid w:val="71D6221C"/>
    <w:rsid w:val="767978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cs="Times New Roman"/>
      <w:b/>
      <w:bCs/>
      <w:kern w:val="0"/>
      <w:sz w:val="2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spacing w:after="190" w:line="432" w:lineRule="auto"/>
      <w:ind w:firstLine="400"/>
    </w:pPr>
    <w:rPr>
      <w:rFonts w:hint="eastAsia" w:ascii="宋体" w:hAnsi="宋体" w:cs="宋体"/>
      <w:sz w:val="30"/>
      <w:szCs w:val="30"/>
    </w:rPr>
  </w:style>
  <w:style w:type="paragraph" w:customStyle="1" w:styleId="12">
    <w:name w:val="_Style 2"/>
    <w:basedOn w:val="1"/>
    <w:next w:val="1"/>
    <w:qFormat/>
    <w:uiPriority w:val="0"/>
    <w:pPr>
      <w:pBdr>
        <w:bottom w:val="single" w:color="auto" w:sz="6" w:space="1"/>
      </w:pBdr>
      <w:jc w:val="center"/>
    </w:pPr>
    <w:rPr>
      <w:rFonts w:ascii="Arial"/>
      <w:vanish/>
      <w:sz w:val="16"/>
    </w:rPr>
  </w:style>
  <w:style w:type="paragraph" w:customStyle="1" w:styleId="13">
    <w:name w:val="列出段落1"/>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vanish/>
      <w:sz w:val="16"/>
    </w:rPr>
  </w:style>
  <w:style w:type="paragraph" w:customStyle="1" w:styleId="15">
    <w:name w:val="Body text|3"/>
    <w:basedOn w:val="1"/>
    <w:qFormat/>
    <w:uiPriority w:val="0"/>
    <w:pPr>
      <w:spacing w:after="500"/>
      <w:jc w:val="center"/>
    </w:pPr>
    <w:rPr>
      <w:rFonts w:ascii="宋体" w:hAnsi="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 w:type="paragraph" w:customStyle="1" w:styleId="24">
    <w:name w:val="ql-lineheight-115"/>
    <w:basedOn w:val="1"/>
    <w:uiPriority w:val="0"/>
    <w:pPr>
      <w:widowControl/>
      <w:spacing w:before="100" w:beforeAutospacing="1" w:after="100" w:afterAutospacing="1"/>
      <w:jc w:val="left"/>
    </w:pPr>
    <w:rPr>
      <w:rFonts w:ascii="宋体" w:hAnsi="宋体" w:cs="宋体"/>
      <w:kern w:val="0"/>
      <w:sz w:val="24"/>
    </w:rPr>
  </w:style>
  <w:style w:type="character" w:customStyle="1" w:styleId="25">
    <w:name w:val="ql-font-timesnewroman"/>
    <w:basedOn w:val="9"/>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2746</Words>
  <Characters>2765</Characters>
  <Lines>20</Lines>
  <Paragraphs>5</Paragraphs>
  <TotalTime>57</TotalTime>
  <ScaleCrop>false</ScaleCrop>
  <LinksUpToDate>false</LinksUpToDate>
  <CharactersWithSpaces>2771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窝得发棵</cp:lastModifiedBy>
  <cp:lastPrinted>2022-10-31T09:03:00Z</cp:lastPrinted>
  <dcterms:modified xsi:type="dcterms:W3CDTF">2023-07-04T07:48:01Z</dcterms:modified>
  <dc:title>关于组织开展首批高校课程思政示范项目验收和第三批示范培育项目及优秀教学案例遴选工作的通知</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865BDC21EC6842338B4FF97927C34AE8</vt:lpwstr>
  </property>
</Properties>
</file>