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“课程思政”案例设计</w:t>
      </w:r>
    </w:p>
    <w:p>
      <w:pPr>
        <w:widowControl w:val="0"/>
        <w:wordWrap/>
        <w:adjustRightInd/>
        <w:snapToGrid/>
        <w:spacing w:line="560" w:lineRule="exact"/>
        <w:ind w:right="0" w:firstLine="2560" w:firstLineChars="800"/>
        <w:jc w:val="both"/>
        <w:textAlignment w:val="auto"/>
        <w:outlineLvl w:val="9"/>
        <w:rPr>
          <w:rFonts w:hint="default" w:ascii="楷体" w:hAnsi="楷体" w:eastAsia="楷体" w:cs="楷体"/>
          <w:sz w:val="32"/>
          <w:szCs w:val="32"/>
          <w:lang w:val="en-US" w:eastAsia="zh-CN"/>
        </w:rPr>
      </w:pPr>
      <w:bookmarkStart w:id="0" w:name="_GoBack"/>
      <w:bookmarkEnd w:id="0"/>
      <w:r>
        <w:rPr>
          <w:rFonts w:hint="eastAsia" w:ascii="楷体" w:hAnsi="楷体" w:eastAsia="楷体" w:cs="楷体"/>
          <w:sz w:val="32"/>
          <w:szCs w:val="32"/>
        </w:rPr>
        <w:t xml:space="preserve">案例名称 </w:t>
      </w:r>
      <w:r>
        <w:rPr>
          <w:rFonts w:ascii="楷体" w:hAnsi="楷体" w:eastAsia="楷体" w:cs="楷体"/>
          <w:sz w:val="32"/>
          <w:szCs w:val="32"/>
        </w:rPr>
        <w:t xml:space="preserve"> </w:t>
      </w:r>
      <w:r>
        <w:rPr>
          <w:rFonts w:hint="eastAsia" w:ascii="楷体" w:hAnsi="楷体" w:eastAsia="楷体" w:cs="楷体"/>
          <w:sz w:val="32"/>
          <w:szCs w:val="32"/>
          <w:lang w:val="en-US" w:eastAsia="zh-CN"/>
        </w:rPr>
        <w:t>良性前列腺增生病人的护理</w:t>
      </w:r>
    </w:p>
    <w:p>
      <w:pPr>
        <w:widowControl w:val="0"/>
        <w:wordWrap/>
        <w:adjustRightInd/>
        <w:snapToGrid/>
        <w:spacing w:line="560" w:lineRule="exact"/>
        <w:ind w:left="0" w:leftChars="0" w:right="0"/>
        <w:jc w:val="center"/>
        <w:textAlignment w:val="auto"/>
        <w:outlineLvl w:val="9"/>
        <w:rPr>
          <w:rFonts w:hint="eastAsia" w:ascii="仿宋" w:hAnsi="仿宋" w:eastAsia="楷体" w:cs="仿宋"/>
          <w:b/>
          <w:bCs/>
          <w:sz w:val="32"/>
          <w:szCs w:val="32"/>
          <w:lang w:val="en-US" w:eastAsia="zh-CN"/>
        </w:rPr>
      </w:pPr>
      <w:r>
        <w:rPr>
          <w:rFonts w:hint="eastAsia" w:ascii="楷体" w:hAnsi="楷体" w:eastAsia="楷体" w:cs="楷体"/>
          <w:sz w:val="32"/>
          <w:szCs w:val="32"/>
        </w:rPr>
        <w:t>主讲教师：</w:t>
      </w:r>
      <w:r>
        <w:rPr>
          <w:rFonts w:hint="eastAsia" w:ascii="楷体" w:hAnsi="楷体" w:eastAsia="楷体" w:cs="楷体"/>
          <w:sz w:val="32"/>
          <w:szCs w:val="32"/>
          <w:lang w:val="en-US" w:eastAsia="zh-CN"/>
        </w:rPr>
        <w:t>石阳</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课程名称：</w:t>
      </w:r>
      <w:r>
        <w:rPr>
          <w:rFonts w:hint="eastAsia" w:ascii="楷体" w:hAnsi="楷体" w:eastAsia="楷体" w:cs="楷体"/>
          <w:sz w:val="32"/>
          <w:szCs w:val="32"/>
          <w:lang w:eastAsia="zh-CN"/>
        </w:rPr>
        <w:t>成人护理学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课程性质：</w:t>
      </w:r>
      <w:r>
        <w:rPr>
          <w:rFonts w:hint="eastAsia" w:ascii="楷体" w:hAnsi="楷体" w:eastAsia="楷体" w:cs="楷体"/>
          <w:sz w:val="32"/>
          <w:szCs w:val="32"/>
          <w:lang w:eastAsia="zh-CN"/>
        </w:rPr>
        <w:t>必修课</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适用专业：</w:t>
      </w:r>
      <w:r>
        <w:rPr>
          <w:rFonts w:hint="eastAsia" w:ascii="楷体" w:hAnsi="楷体" w:eastAsia="楷体" w:cs="楷体"/>
          <w:sz w:val="32"/>
          <w:szCs w:val="32"/>
          <w:lang w:eastAsia="zh-CN"/>
        </w:rPr>
        <w:t>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所属类别：</w:t>
      </w:r>
      <w:r>
        <w:rPr>
          <w:rFonts w:hint="eastAsia" w:ascii="楷体" w:hAnsi="楷体" w:eastAsia="楷体" w:cs="楷体"/>
          <w:sz w:val="32"/>
          <w:szCs w:val="32"/>
          <w:lang w:eastAsia="zh-CN"/>
        </w:rPr>
        <w:t>医学</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一、课程简介</w:t>
      </w:r>
    </w:p>
    <w:p>
      <w:pPr>
        <w:widowControl w:val="0"/>
        <w:wordWrap/>
        <w:adjustRightInd/>
        <w:snapToGrid/>
        <w:spacing w:line="560" w:lineRule="exact"/>
        <w:ind w:left="0" w:leftChars="0" w:right="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成人</w:t>
      </w:r>
      <w:r>
        <w:rPr>
          <w:rFonts w:hint="eastAsia" w:ascii="仿宋" w:hAnsi="仿宋" w:eastAsia="仿宋" w:cs="仿宋"/>
          <w:sz w:val="32"/>
          <w:szCs w:val="32"/>
        </w:rPr>
        <w:t>护理学是护理专业的核心职业能力课，是关于认识疾病及其防治</w:t>
      </w:r>
      <w:r>
        <w:rPr>
          <w:rFonts w:hint="eastAsia" w:ascii="仿宋" w:hAnsi="仿宋" w:eastAsia="仿宋" w:cs="仿宋"/>
          <w:sz w:val="32"/>
          <w:szCs w:val="32"/>
          <w:lang w:eastAsia="zh-CN"/>
        </w:rPr>
        <w:t>、</w:t>
      </w:r>
      <w:r>
        <w:rPr>
          <w:rFonts w:hint="eastAsia" w:ascii="仿宋" w:hAnsi="仿宋" w:eastAsia="仿宋" w:cs="仿宋"/>
          <w:sz w:val="32"/>
          <w:szCs w:val="32"/>
        </w:rPr>
        <w:t>护理病人</w:t>
      </w:r>
      <w:r>
        <w:rPr>
          <w:rFonts w:hint="eastAsia" w:ascii="仿宋" w:hAnsi="仿宋" w:eastAsia="仿宋" w:cs="仿宋"/>
          <w:sz w:val="32"/>
          <w:szCs w:val="32"/>
          <w:lang w:eastAsia="zh-CN"/>
        </w:rPr>
        <w:t>、</w:t>
      </w:r>
      <w:r>
        <w:rPr>
          <w:rFonts w:hint="eastAsia" w:ascii="仿宋" w:hAnsi="仿宋" w:eastAsia="仿宋" w:cs="仿宋"/>
          <w:sz w:val="32"/>
          <w:szCs w:val="32"/>
        </w:rPr>
        <w:t>促进康复</w:t>
      </w:r>
      <w:r>
        <w:rPr>
          <w:rFonts w:hint="eastAsia" w:ascii="仿宋" w:hAnsi="仿宋" w:eastAsia="仿宋" w:cs="仿宋"/>
          <w:sz w:val="32"/>
          <w:szCs w:val="32"/>
          <w:lang w:eastAsia="zh-CN"/>
        </w:rPr>
        <w:t>、</w:t>
      </w:r>
      <w:r>
        <w:rPr>
          <w:rFonts w:hint="eastAsia" w:ascii="仿宋" w:hAnsi="仿宋" w:eastAsia="仿宋" w:cs="仿宋"/>
          <w:sz w:val="32"/>
          <w:szCs w:val="32"/>
        </w:rPr>
        <w:t>增进健康的重要课程。其教学内容在临床护理学的理论和实践中具有普遍意义。</w:t>
      </w:r>
      <w:r>
        <w:rPr>
          <w:rFonts w:hint="eastAsia" w:ascii="仿宋" w:hAnsi="仿宋" w:eastAsia="仿宋" w:cs="仿宋"/>
          <w:sz w:val="32"/>
          <w:szCs w:val="32"/>
          <w:lang w:eastAsia="zh-CN"/>
        </w:rPr>
        <w:t>成人</w:t>
      </w:r>
      <w:r>
        <w:rPr>
          <w:rFonts w:hint="eastAsia" w:ascii="仿宋" w:hAnsi="仿宋" w:eastAsia="仿宋" w:cs="仿宋"/>
          <w:sz w:val="32"/>
          <w:szCs w:val="32"/>
        </w:rPr>
        <w:t>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pPr>
        <w:widowControl w:val="0"/>
        <w:numPr>
          <w:ilvl w:val="0"/>
          <w:numId w:val="1"/>
        </w:numPr>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思政元素挖掘与思政素材选取</w:t>
      </w:r>
    </w:p>
    <w:p>
      <w:pPr>
        <w:widowControl w:val="0"/>
        <w:numPr>
          <w:ilvl w:val="0"/>
          <w:numId w:val="0"/>
        </w:numPr>
        <w:wordWrap/>
        <w:adjustRightInd/>
        <w:snapToGrid/>
        <w:spacing w:line="560" w:lineRule="exact"/>
        <w:ind w:right="0" w:rightChars="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color w:val="auto"/>
          <w:sz w:val="32"/>
          <w:szCs w:val="32"/>
          <w:u w:val="none"/>
        </w:rPr>
        <w:fldChar w:fldCharType="begin"/>
      </w:r>
      <w:r>
        <w:rPr>
          <w:rFonts w:hint="eastAsia" w:ascii="仿宋" w:hAnsi="仿宋" w:eastAsia="仿宋" w:cs="仿宋"/>
          <w:color w:val="auto"/>
          <w:sz w:val="32"/>
          <w:szCs w:val="32"/>
          <w:u w:val="none"/>
        </w:rPr>
        <w:instrText xml:space="preserve"> HYPERLINK "javascript:void(0);" </w:instrText>
      </w:r>
      <w:r>
        <w:rPr>
          <w:rFonts w:hint="eastAsia" w:ascii="仿宋" w:hAnsi="仿宋" w:eastAsia="仿宋" w:cs="仿宋"/>
          <w:color w:val="auto"/>
          <w:sz w:val="32"/>
          <w:szCs w:val="32"/>
          <w:u w:val="none"/>
        </w:rPr>
        <w:fldChar w:fldCharType="separate"/>
      </w:r>
      <w:r>
        <w:rPr>
          <w:rStyle w:val="10"/>
          <w:rFonts w:hint="eastAsia" w:ascii="仿宋" w:hAnsi="仿宋" w:eastAsia="仿宋" w:cs="仿宋"/>
          <w:color w:val="auto"/>
          <w:sz w:val="32"/>
          <w:szCs w:val="32"/>
          <w:u w:val="none"/>
        </w:rPr>
        <w:t>习近平在</w:t>
      </w:r>
      <w:r>
        <w:rPr>
          <w:rStyle w:val="10"/>
          <w:rFonts w:hint="default" w:ascii="Times New Roman" w:hAnsi="Times New Roman" w:eastAsia="仿宋" w:cs="Times New Roman"/>
          <w:color w:val="auto"/>
          <w:sz w:val="32"/>
          <w:szCs w:val="32"/>
          <w:u w:val="none"/>
        </w:rPr>
        <w:t>2016</w:t>
      </w:r>
      <w:r>
        <w:rPr>
          <w:rFonts w:hint="eastAsia" w:ascii="仿宋" w:hAnsi="仿宋" w:eastAsia="仿宋" w:cs="仿宋"/>
          <w:color w:val="auto"/>
          <w:sz w:val="32"/>
          <w:szCs w:val="32"/>
          <w:u w:val="none"/>
        </w:rPr>
        <w:fldChar w:fldCharType="end"/>
      </w:r>
      <w:r>
        <w:rPr>
          <w:rFonts w:hint="eastAsia" w:ascii="仿宋" w:hAnsi="仿宋" w:eastAsia="仿宋" w:cs="仿宋"/>
          <w:i w:val="0"/>
          <w:iCs w:val="0"/>
          <w:caps w:val="0"/>
          <w:color w:val="333333"/>
          <w:spacing w:val="9"/>
          <w:sz w:val="32"/>
          <w:szCs w:val="32"/>
          <w:shd w:val="clear"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hint="default" w:ascii="Times New Roman" w:hAnsi="Times New Roman" w:eastAsia="仿宋" w:cs="Times New Roman"/>
          <w:i w:val="0"/>
          <w:iCs w:val="0"/>
          <w:caps w:val="0"/>
          <w:color w:val="333333"/>
          <w:spacing w:val="9"/>
          <w:sz w:val="32"/>
          <w:szCs w:val="32"/>
          <w:shd w:val="clear" w:fill="FFFFFF"/>
        </w:rPr>
        <w:t>2020</w:t>
      </w:r>
      <w:r>
        <w:rPr>
          <w:rFonts w:hint="eastAsia" w:ascii="仿宋" w:hAnsi="仿宋" w:eastAsia="仿宋" w:cs="仿宋"/>
          <w:i w:val="0"/>
          <w:iCs w:val="0"/>
          <w:caps w:val="0"/>
          <w:color w:val="333333"/>
          <w:spacing w:val="9"/>
          <w:sz w:val="32"/>
          <w:szCs w:val="32"/>
          <w:shd w:val="clear" w:fill="FFFFFF"/>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w:t>
      </w:r>
      <w:r>
        <w:rPr>
          <w:rFonts w:hint="eastAsia" w:ascii="仿宋" w:hAnsi="仿宋" w:eastAsia="仿宋" w:cs="仿宋"/>
          <w:i w:val="0"/>
          <w:iCs w:val="0"/>
          <w:caps w:val="0"/>
          <w:color w:val="333333"/>
          <w:spacing w:val="9"/>
          <w:sz w:val="32"/>
          <w:szCs w:val="32"/>
          <w:shd w:val="clear" w:fill="FFFFFF"/>
          <w:lang w:val="en-US" w:eastAsia="zh-CN"/>
        </w:rPr>
        <w:t>一代代人由小孩到老人，不管是处于盛唐还是当今社会，有一点却是共同的，那就是弘扬尊老爱幼的优良传统</w:t>
      </w:r>
      <w:r>
        <w:rPr>
          <w:rFonts w:hint="eastAsia" w:ascii="仿宋" w:hAnsi="仿宋" w:eastAsia="仿宋" w:cs="仿宋"/>
          <w:i w:val="0"/>
          <w:iCs w:val="0"/>
          <w:caps w:val="0"/>
          <w:color w:val="333333"/>
          <w:spacing w:val="9"/>
          <w:sz w:val="32"/>
          <w:szCs w:val="32"/>
          <w:shd w:val="clear" w:fill="FFFFFF"/>
        </w:rPr>
        <w:t>。</w:t>
      </w:r>
      <w:r>
        <w:rPr>
          <w:rFonts w:hint="eastAsia" w:ascii="仿宋" w:hAnsi="仿宋" w:eastAsia="仿宋" w:cs="仿宋"/>
          <w:i w:val="0"/>
          <w:iCs w:val="0"/>
          <w:caps w:val="0"/>
          <w:color w:val="333333"/>
          <w:spacing w:val="9"/>
          <w:sz w:val="32"/>
          <w:szCs w:val="32"/>
          <w:shd w:val="clear" w:fill="FFFFFF"/>
          <w:lang w:val="en-US" w:eastAsia="zh-CN"/>
        </w:rPr>
        <w:t>中国是一个懂得尊老的民族，我们从小受到的教育也要尊老敬幼。</w:t>
      </w:r>
      <w:r>
        <w:rPr>
          <w:rFonts w:hint="eastAsia" w:ascii="仿宋" w:hAnsi="仿宋" w:eastAsia="仿宋" w:cs="仿宋"/>
          <w:i w:val="0"/>
          <w:iCs w:val="0"/>
          <w:caps w:val="0"/>
          <w:color w:val="333333"/>
          <w:spacing w:val="9"/>
          <w:sz w:val="32"/>
          <w:szCs w:val="32"/>
          <w:shd w:val="clear" w:fill="FFFFFF"/>
        </w:rPr>
        <w:t>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思政教育效果。</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课程思政案例设计与实施</w:t>
      </w:r>
    </w:p>
    <w:p>
      <w:pPr>
        <w:widowControl w:val="0"/>
        <w:wordWrap/>
        <w:adjustRightInd/>
        <w:snapToGrid/>
        <w:spacing w:line="560" w:lineRule="exact"/>
        <w:ind w:left="0" w:leftChars="0" w:right="0" w:firstLine="643" w:firstLineChars="200"/>
        <w:textAlignment w:val="auto"/>
        <w:outlineLvl w:val="9"/>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案例名称：</w:t>
      </w:r>
      <w:r>
        <w:rPr>
          <w:rFonts w:hint="eastAsia" w:ascii="仿宋_GB2312" w:hAnsi="仿宋_GB2312" w:eastAsia="仿宋_GB2312" w:cs="仿宋_GB2312"/>
          <w:b w:val="0"/>
          <w:bCs w:val="0"/>
          <w:sz w:val="32"/>
          <w:szCs w:val="32"/>
          <w:lang w:val="en-US" w:eastAsia="zh-CN"/>
        </w:rPr>
        <w:t xml:space="preserve"> 良性前列腺增生病人的护理</w:t>
      </w:r>
    </w:p>
    <w:p>
      <w:pPr>
        <w:widowControl w:val="0"/>
        <w:numPr>
          <w:ilvl w:val="0"/>
          <w:numId w:val="2"/>
        </w:numPr>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案例教学目标</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知识目标</w:t>
      </w:r>
    </w:p>
    <w:p>
      <w:pPr>
        <w:widowControl w:val="0"/>
        <w:numPr>
          <w:ilvl w:val="0"/>
          <w:numId w:val="0"/>
        </w:numPr>
        <w:wordWrap/>
        <w:adjustRightInd/>
        <w:snapToGrid/>
        <w:spacing w:line="560" w:lineRule="exact"/>
        <w:ind w:left="44" w:leftChars="21" w:right="0" w:rightChars="0" w:firstLine="676" w:firstLineChars="200"/>
        <w:textAlignment w:val="auto"/>
        <w:outlineLvl w:val="9"/>
        <w:rPr>
          <w:rFonts w:hint="eastAsia" w:ascii="仿宋" w:hAnsi="仿宋" w:eastAsia="仿宋" w:cs="仿宋"/>
          <w:i w:val="0"/>
          <w:iCs w:val="0"/>
          <w:caps w:val="0"/>
          <w:color w:val="auto"/>
          <w:spacing w:val="9"/>
          <w:sz w:val="32"/>
          <w:szCs w:val="32"/>
          <w:shd w:val="clear" w:fill="FFFFFF"/>
        </w:rPr>
      </w:pPr>
      <w:r>
        <w:rPr>
          <w:rFonts w:hint="eastAsia" w:ascii="仿宋" w:hAnsi="仿宋" w:eastAsia="仿宋" w:cs="仿宋"/>
          <w:i w:val="0"/>
          <w:iCs w:val="0"/>
          <w:caps w:val="0"/>
          <w:color w:val="auto"/>
          <w:spacing w:val="9"/>
          <w:sz w:val="32"/>
          <w:szCs w:val="32"/>
          <w:shd w:val="clear" w:fill="FFFFFF"/>
        </w:rPr>
        <w:t>了解</w:t>
      </w:r>
      <w:r>
        <w:rPr>
          <w:rFonts w:hint="eastAsia" w:ascii="仿宋" w:hAnsi="仿宋" w:eastAsia="仿宋" w:cs="仿宋"/>
          <w:i w:val="0"/>
          <w:iCs w:val="0"/>
          <w:caps w:val="0"/>
          <w:color w:val="auto"/>
          <w:spacing w:val="9"/>
          <w:sz w:val="32"/>
          <w:szCs w:val="32"/>
          <w:shd w:val="clear" w:fill="FFFFFF"/>
          <w:lang w:val="en-US" w:eastAsia="zh-CN"/>
        </w:rPr>
        <w:t>良性前列腺增生</w:t>
      </w:r>
      <w:r>
        <w:rPr>
          <w:rFonts w:hint="eastAsia" w:ascii="仿宋" w:hAnsi="仿宋" w:eastAsia="仿宋" w:cs="仿宋"/>
          <w:i w:val="0"/>
          <w:iCs w:val="0"/>
          <w:caps w:val="0"/>
          <w:color w:val="auto"/>
          <w:spacing w:val="9"/>
          <w:sz w:val="32"/>
          <w:szCs w:val="32"/>
          <w:shd w:val="clear" w:fill="FFFFFF"/>
        </w:rPr>
        <w:t>的</w:t>
      </w:r>
      <w:r>
        <w:rPr>
          <w:rFonts w:hint="eastAsia" w:ascii="仿宋" w:hAnsi="仿宋" w:eastAsia="仿宋" w:cs="仿宋"/>
          <w:i w:val="0"/>
          <w:iCs w:val="0"/>
          <w:caps w:val="0"/>
          <w:color w:val="auto"/>
          <w:spacing w:val="9"/>
          <w:sz w:val="32"/>
          <w:szCs w:val="32"/>
          <w:shd w:val="clear" w:fill="FFFFFF"/>
          <w:lang w:val="en-US" w:eastAsia="zh-CN"/>
        </w:rPr>
        <w:t>病因、病理</w:t>
      </w:r>
      <w:r>
        <w:rPr>
          <w:rFonts w:hint="eastAsia" w:ascii="仿宋" w:hAnsi="仿宋" w:eastAsia="仿宋" w:cs="仿宋"/>
          <w:i w:val="0"/>
          <w:iCs w:val="0"/>
          <w:caps w:val="0"/>
          <w:color w:val="auto"/>
          <w:spacing w:val="9"/>
          <w:sz w:val="32"/>
          <w:szCs w:val="32"/>
          <w:shd w:val="clear" w:fill="FFFFFF"/>
        </w:rPr>
        <w:t>；熟悉</w:t>
      </w:r>
      <w:r>
        <w:rPr>
          <w:rFonts w:hint="eastAsia" w:ascii="仿宋" w:hAnsi="仿宋" w:eastAsia="仿宋" w:cs="仿宋"/>
          <w:i w:val="0"/>
          <w:iCs w:val="0"/>
          <w:caps w:val="0"/>
          <w:color w:val="auto"/>
          <w:spacing w:val="9"/>
          <w:sz w:val="32"/>
          <w:szCs w:val="32"/>
          <w:shd w:val="clear" w:fill="FFFFFF"/>
          <w:lang w:val="en-US" w:eastAsia="zh-CN"/>
        </w:rPr>
        <w:t>良性前列腺增生的症状与体征、临床辅助检查、鉴别诊断</w:t>
      </w:r>
      <w:r>
        <w:rPr>
          <w:rFonts w:hint="eastAsia" w:ascii="仿宋" w:hAnsi="仿宋" w:eastAsia="仿宋" w:cs="仿宋"/>
          <w:i w:val="0"/>
          <w:iCs w:val="0"/>
          <w:caps w:val="0"/>
          <w:color w:val="auto"/>
          <w:spacing w:val="9"/>
          <w:sz w:val="32"/>
          <w:szCs w:val="32"/>
          <w:shd w:val="clear" w:fill="FFFFFF"/>
        </w:rPr>
        <w:t>；掌握</w:t>
      </w:r>
      <w:r>
        <w:rPr>
          <w:rFonts w:hint="eastAsia" w:ascii="仿宋" w:hAnsi="仿宋" w:eastAsia="仿宋" w:cs="仿宋"/>
          <w:i w:val="0"/>
          <w:iCs w:val="0"/>
          <w:caps w:val="0"/>
          <w:color w:val="auto"/>
          <w:spacing w:val="9"/>
          <w:sz w:val="32"/>
          <w:szCs w:val="32"/>
          <w:shd w:val="clear" w:fill="FFFFFF"/>
          <w:lang w:val="en-US" w:eastAsia="zh-CN"/>
        </w:rPr>
        <w:t>前列腺增生</w:t>
      </w:r>
      <w:r>
        <w:rPr>
          <w:rFonts w:hint="eastAsia" w:ascii="仿宋" w:hAnsi="仿宋" w:eastAsia="仿宋" w:cs="仿宋"/>
          <w:i w:val="0"/>
          <w:iCs w:val="0"/>
          <w:caps w:val="0"/>
          <w:color w:val="auto"/>
          <w:spacing w:val="9"/>
          <w:sz w:val="32"/>
          <w:szCs w:val="32"/>
          <w:shd w:val="clear" w:fill="FFFFFF"/>
        </w:rPr>
        <w:t>的评估要点、护理诊断、护理措施、健康教育及</w:t>
      </w:r>
      <w:r>
        <w:rPr>
          <w:rFonts w:hint="eastAsia" w:ascii="仿宋" w:hAnsi="仿宋" w:eastAsia="仿宋" w:cs="仿宋"/>
          <w:i w:val="0"/>
          <w:iCs w:val="0"/>
          <w:caps w:val="0"/>
          <w:color w:val="auto"/>
          <w:spacing w:val="9"/>
          <w:sz w:val="32"/>
          <w:szCs w:val="32"/>
          <w:shd w:val="clear" w:fill="FFFFFF"/>
          <w:lang w:val="en-US" w:eastAsia="zh-CN"/>
        </w:rPr>
        <w:t>经尿道前列腺电切术的术后</w:t>
      </w:r>
      <w:r>
        <w:rPr>
          <w:rFonts w:hint="eastAsia" w:ascii="仿宋" w:hAnsi="仿宋" w:eastAsia="仿宋" w:cs="仿宋"/>
          <w:i w:val="0"/>
          <w:iCs w:val="0"/>
          <w:caps w:val="0"/>
          <w:color w:val="auto"/>
          <w:spacing w:val="9"/>
          <w:sz w:val="32"/>
          <w:szCs w:val="32"/>
          <w:shd w:val="clear" w:fill="FFFFFF"/>
        </w:rPr>
        <w:t>护理基本技能。</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能力目标</w:t>
      </w:r>
    </w:p>
    <w:p>
      <w:pPr>
        <w:widowControl w:val="0"/>
        <w:numPr>
          <w:ilvl w:val="0"/>
          <w:numId w:val="0"/>
        </w:numPr>
        <w:wordWrap/>
        <w:adjustRightInd/>
        <w:snapToGrid/>
        <w:spacing w:line="560" w:lineRule="exact"/>
        <w:ind w:leftChars="200" w:right="0" w:rightChars="0" w:firstLine="676" w:firstLineChars="200"/>
        <w:textAlignment w:val="auto"/>
        <w:outlineLvl w:val="9"/>
        <w:rPr>
          <w:rFonts w:ascii="Arial" w:hAnsi="Arial" w:eastAsia="宋体" w:cs="Arial"/>
          <w:i w:val="0"/>
          <w:iCs w:val="0"/>
          <w:caps w:val="0"/>
          <w:color w:val="auto"/>
          <w:spacing w:val="9"/>
          <w:sz w:val="24"/>
          <w:szCs w:val="24"/>
          <w:shd w:val="clear" w:fill="FFFFFF"/>
        </w:rPr>
      </w:pPr>
      <w:r>
        <w:rPr>
          <w:rFonts w:hint="eastAsia" w:ascii="仿宋" w:hAnsi="仿宋" w:eastAsia="仿宋" w:cs="仿宋"/>
          <w:i w:val="0"/>
          <w:iCs w:val="0"/>
          <w:caps w:val="0"/>
          <w:color w:val="auto"/>
          <w:spacing w:val="9"/>
          <w:sz w:val="32"/>
          <w:szCs w:val="32"/>
          <w:shd w:val="clear" w:fill="FFFFFF"/>
        </w:rPr>
        <w:t>熟练地将护理理论知识运用于临床实践，学会运用护理程序，对</w:t>
      </w:r>
      <w:r>
        <w:rPr>
          <w:rFonts w:hint="eastAsia" w:ascii="仿宋" w:hAnsi="仿宋" w:eastAsia="仿宋" w:cs="仿宋"/>
          <w:i w:val="0"/>
          <w:iCs w:val="0"/>
          <w:caps w:val="0"/>
          <w:color w:val="auto"/>
          <w:spacing w:val="9"/>
          <w:sz w:val="32"/>
          <w:szCs w:val="32"/>
          <w:shd w:val="clear" w:fill="FFFFFF"/>
          <w:lang w:val="en-US" w:eastAsia="zh-CN"/>
        </w:rPr>
        <w:t>良性前列腺增生患者</w:t>
      </w:r>
      <w:r>
        <w:rPr>
          <w:rFonts w:hint="eastAsia" w:ascii="仿宋" w:hAnsi="仿宋" w:eastAsia="仿宋" w:cs="仿宋"/>
          <w:i w:val="0"/>
          <w:iCs w:val="0"/>
          <w:caps w:val="0"/>
          <w:color w:val="auto"/>
          <w:spacing w:val="9"/>
          <w:sz w:val="32"/>
          <w:szCs w:val="32"/>
          <w:shd w:val="clear" w:fill="FFFFFF"/>
        </w:rPr>
        <w:t>实施整体护理，促进患者早日康复。</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价值引领目标</w:t>
      </w:r>
    </w:p>
    <w:p>
      <w:pPr>
        <w:widowControl w:val="0"/>
        <w:numPr>
          <w:ilvl w:val="0"/>
          <w:numId w:val="0"/>
        </w:numPr>
        <w:wordWrap/>
        <w:adjustRightInd/>
        <w:snapToGrid/>
        <w:spacing w:line="560" w:lineRule="exact"/>
        <w:ind w:left="0" w:leftChars="0"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rPr>
      </w:pPr>
      <w:r>
        <w:rPr>
          <w:rFonts w:hint="eastAsia" w:ascii="仿宋" w:hAnsi="仿宋" w:eastAsia="仿宋" w:cs="仿宋"/>
          <w:i w:val="0"/>
          <w:iCs w:val="0"/>
          <w:caps w:val="0"/>
          <w:color w:val="auto"/>
          <w:spacing w:val="9"/>
          <w:sz w:val="32"/>
          <w:szCs w:val="32"/>
          <w:shd w:val="clear" w:fill="FFFFFF"/>
          <w:lang w:val="en-US" w:eastAsia="zh-CN"/>
        </w:rPr>
        <w:t>通过临床护士工作中对患者的关心和关爱，疾病的健康宣教及术后健康指导，让学生了解临床护理工作中疾病健康指导及康复锻炼对患者及家属的重要性。对于缺少家属关爱的独居老人如何做好术后随访，如何关注无陪护的老年人住院期间的心理变化，更好地关心关爱患者，让护士工作更顺利地开展。培养学生懂得如何去重视老年人，了解独居老人的生活，日常积极参加关爱老年人的社会活动，关心长辈，孝敬父母，承担起尊老的社会责任，让老人们度过一个幸福、祥和的晚年</w:t>
      </w:r>
      <w:r>
        <w:rPr>
          <w:rFonts w:hint="eastAsia" w:ascii="仿宋" w:hAnsi="仿宋" w:eastAsia="仿宋" w:cs="仿宋"/>
          <w:i w:val="0"/>
          <w:iCs w:val="0"/>
          <w:caps w:val="0"/>
          <w:color w:val="auto"/>
          <w:spacing w:val="9"/>
          <w:sz w:val="32"/>
          <w:szCs w:val="32"/>
          <w:shd w:val="clear" w:fill="FFFFFF"/>
        </w:rPr>
        <w:t>。</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2.教学组织与实施</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(1）采用案例导入法使课程思政教学更具有吸引力。通过临床病例</w:t>
      </w:r>
      <w:r>
        <w:rPr>
          <w:rFonts w:hint="eastAsia" w:ascii="仿宋" w:hAnsi="仿宋" w:eastAsia="仿宋" w:cs="仿宋"/>
          <w:i w:val="0"/>
          <w:iCs w:val="0"/>
          <w:caps w:val="0"/>
          <w:color w:val="auto"/>
          <w:spacing w:val="9"/>
          <w:sz w:val="32"/>
          <w:szCs w:val="32"/>
          <w:lang w:eastAsia="zh-CN"/>
        </w:rPr>
        <w:t>、</w:t>
      </w:r>
      <w:r>
        <w:rPr>
          <w:rFonts w:hint="eastAsia" w:ascii="仿宋" w:hAnsi="仿宋" w:eastAsia="仿宋" w:cs="仿宋"/>
          <w:i w:val="0"/>
          <w:iCs w:val="0"/>
          <w:caps w:val="0"/>
          <w:color w:val="auto"/>
          <w:spacing w:val="9"/>
          <w:sz w:val="32"/>
          <w:szCs w:val="32"/>
          <w:lang w:val="en-US" w:eastAsia="zh-CN"/>
        </w:rPr>
        <w:t>临床影像资料、手术视频等</w:t>
      </w:r>
      <w:r>
        <w:rPr>
          <w:rFonts w:hint="eastAsia" w:ascii="仿宋" w:hAnsi="仿宋" w:eastAsia="仿宋" w:cs="仿宋"/>
          <w:i w:val="0"/>
          <w:iCs w:val="0"/>
          <w:caps w:val="0"/>
          <w:color w:val="auto"/>
          <w:spacing w:val="9"/>
          <w:sz w:val="32"/>
          <w:szCs w:val="32"/>
        </w:rPr>
        <w:t>导入新课，能吸引学生眼球并引发学生对生活、工作、学习等方面的思考。如：通过</w:t>
      </w:r>
      <w:r>
        <w:rPr>
          <w:rFonts w:hint="eastAsia" w:ascii="仿宋" w:hAnsi="仿宋" w:eastAsia="仿宋" w:cs="仿宋"/>
          <w:i w:val="0"/>
          <w:iCs w:val="0"/>
          <w:caps w:val="0"/>
          <w:color w:val="auto"/>
          <w:spacing w:val="9"/>
          <w:sz w:val="32"/>
          <w:szCs w:val="32"/>
          <w:lang w:val="en-US" w:eastAsia="zh-CN"/>
        </w:rPr>
        <w:t>重阳节各地社区的慰问活动</w:t>
      </w:r>
      <w:r>
        <w:rPr>
          <w:rFonts w:hint="eastAsia" w:ascii="仿宋" w:hAnsi="仿宋" w:eastAsia="仿宋" w:cs="仿宋"/>
          <w:i w:val="0"/>
          <w:iCs w:val="0"/>
          <w:caps w:val="0"/>
          <w:color w:val="auto"/>
          <w:spacing w:val="9"/>
          <w:sz w:val="32"/>
          <w:szCs w:val="32"/>
        </w:rPr>
        <w:t>导入新课，让学生</w:t>
      </w:r>
      <w:r>
        <w:rPr>
          <w:rFonts w:hint="eastAsia" w:ascii="仿宋" w:hAnsi="仿宋" w:eastAsia="仿宋" w:cs="仿宋"/>
          <w:i w:val="0"/>
          <w:iCs w:val="0"/>
          <w:caps w:val="0"/>
          <w:color w:val="auto"/>
          <w:spacing w:val="9"/>
          <w:sz w:val="32"/>
          <w:szCs w:val="32"/>
          <w:lang w:val="en-US" w:eastAsia="zh-CN"/>
        </w:rPr>
        <w:t>了解退休老兵的光辉事迹，增强社会责任感，提高思想性和亲和力</w:t>
      </w:r>
      <w:r>
        <w:rPr>
          <w:rFonts w:hint="eastAsia" w:ascii="仿宋" w:hAnsi="仿宋" w:eastAsia="仿宋" w:cs="仿宋"/>
          <w:i w:val="0"/>
          <w:iCs w:val="0"/>
          <w:caps w:val="0"/>
          <w:color w:val="auto"/>
          <w:spacing w:val="9"/>
          <w:sz w:val="32"/>
          <w:szCs w:val="32"/>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w:t>
      </w:r>
      <w:r>
        <w:rPr>
          <w:rFonts w:hint="eastAsia" w:ascii="仿宋" w:hAnsi="仿宋" w:eastAsia="仿宋" w:cs="仿宋"/>
          <w:i w:val="0"/>
          <w:iCs w:val="0"/>
          <w:caps w:val="0"/>
          <w:color w:val="auto"/>
          <w:spacing w:val="9"/>
          <w:sz w:val="32"/>
          <w:szCs w:val="32"/>
          <w:lang w:val="en-US" w:eastAsia="zh-CN"/>
        </w:rPr>
        <w:t>2</w:t>
      </w:r>
      <w:r>
        <w:rPr>
          <w:rFonts w:hint="eastAsia" w:ascii="仿宋" w:hAnsi="仿宋" w:eastAsia="仿宋" w:cs="仿宋"/>
          <w:i w:val="0"/>
          <w:iCs w:val="0"/>
          <w:caps w:val="0"/>
          <w:color w:val="auto"/>
          <w:spacing w:val="9"/>
          <w:sz w:val="32"/>
          <w:szCs w:val="32"/>
        </w:rPr>
        <w:t>）采用情景模拟法使课程思政育人效果更加突出。学生分组进行角色扮演，还原护理病人的真实过程。通过沉浸式的教学，培养学生发现问题、解决问题的能力，让学生在实践中学会如何运用理论知识，为患者提供更好的护理服务。如</w:t>
      </w:r>
      <w:r>
        <w:rPr>
          <w:rFonts w:hint="eastAsia" w:ascii="仿宋" w:hAnsi="仿宋" w:eastAsia="仿宋" w:cs="仿宋"/>
          <w:i w:val="0"/>
          <w:iCs w:val="0"/>
          <w:caps w:val="0"/>
          <w:color w:val="auto"/>
          <w:spacing w:val="9"/>
          <w:sz w:val="32"/>
          <w:szCs w:val="32"/>
          <w:lang w:eastAsia="zh-CN"/>
        </w:rPr>
        <w:t>：</w:t>
      </w:r>
      <w:r>
        <w:rPr>
          <w:rFonts w:hint="eastAsia" w:ascii="仿宋" w:hAnsi="仿宋" w:eastAsia="仿宋" w:cs="仿宋"/>
          <w:i w:val="0"/>
          <w:iCs w:val="0"/>
          <w:caps w:val="0"/>
          <w:color w:val="auto"/>
          <w:spacing w:val="9"/>
          <w:sz w:val="32"/>
          <w:szCs w:val="32"/>
          <w:lang w:val="en-US" w:eastAsia="zh-CN"/>
        </w:rPr>
        <w:t>经尿道前列腺电切术术后患者，需要常规持续膀胱冲洗1-2天，让学生扮演患者及家属、护士</w:t>
      </w:r>
      <w:r>
        <w:rPr>
          <w:rFonts w:hint="eastAsia" w:ascii="仿宋" w:hAnsi="仿宋" w:eastAsia="仿宋" w:cs="仿宋"/>
          <w:i w:val="0"/>
          <w:iCs w:val="0"/>
          <w:caps w:val="0"/>
          <w:color w:val="auto"/>
          <w:spacing w:val="9"/>
          <w:sz w:val="32"/>
          <w:szCs w:val="32"/>
        </w:rPr>
        <w:t>，让学生在真实演练中发现问题，解决问题，要求学生在护理患者时要细心、耐心，有高度的责任心，主动去发现患者的需求，为患者提供舒适的护理服务。</w:t>
      </w:r>
      <w:r>
        <w:rPr>
          <w:rFonts w:hint="eastAsia" w:ascii="仿宋" w:hAnsi="仿宋" w:eastAsia="仿宋" w:cs="仿宋"/>
          <w:i w:val="0"/>
          <w:iCs w:val="0"/>
          <w:caps w:val="0"/>
          <w:color w:val="auto"/>
          <w:spacing w:val="9"/>
          <w:sz w:val="32"/>
          <w:szCs w:val="32"/>
          <w:lang w:val="en-US" w:eastAsia="zh-CN"/>
        </w:rPr>
        <w:t>家属陪同长辈时能否从生活习惯、饮食习性、心理变化方面得到老年人的认同，如何更好地与长辈相处，更好地从多角度关心、关爱老人。</w:t>
      </w:r>
      <w:r>
        <w:rPr>
          <w:rFonts w:hint="eastAsia" w:ascii="仿宋" w:hAnsi="仿宋" w:eastAsia="仿宋" w:cs="仿宋"/>
          <w:i w:val="0"/>
          <w:iCs w:val="0"/>
          <w:caps w:val="0"/>
          <w:color w:val="auto"/>
          <w:spacing w:val="9"/>
          <w:sz w:val="32"/>
          <w:szCs w:val="32"/>
        </w:rPr>
        <w:t>情景模拟教学法适用于线下面授课程，教师要做好相关设计与安排，提前向学生发布情景模拟的案例，学生自行备好模拟过程中需要的人、物、场地等，以确保情景模拟的顺利实施。</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教学效果分析及教学反思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line="450" w:lineRule="atLeast"/>
        <w:ind w:left="300" w:right="0" w:firstLine="420"/>
        <w:rPr>
          <w:rFonts w:hint="eastAsia" w:ascii="仿宋" w:hAnsi="仿宋" w:eastAsia="仿宋" w:cs="仿宋"/>
          <w:b w:val="0"/>
          <w:bCs w:val="0"/>
          <w:i w:val="0"/>
          <w:iCs w:val="0"/>
          <w:caps w:val="0"/>
          <w:color w:val="auto"/>
          <w:spacing w:val="9"/>
          <w:sz w:val="32"/>
          <w:szCs w:val="32"/>
          <w:shd w:val="clear" w:fill="FFFFFF"/>
        </w:rPr>
      </w:pPr>
      <w:r>
        <w:rPr>
          <w:rFonts w:hint="eastAsia" w:ascii="仿宋" w:hAnsi="仿宋" w:eastAsia="仿宋" w:cs="仿宋"/>
          <w:b w:val="0"/>
          <w:bCs w:val="0"/>
          <w:i w:val="0"/>
          <w:iCs w:val="0"/>
          <w:caps w:val="0"/>
          <w:color w:val="auto"/>
          <w:spacing w:val="9"/>
          <w:sz w:val="32"/>
          <w:szCs w:val="32"/>
        </w:rPr>
        <w:t>教学有法，但无定法，贵在得法，教师在课程思政教学准备中要根据不同的目标与内容，选择适宜的教学方法，引导学生自主探究思考，提高学生学习的主动性。</w:t>
      </w:r>
      <w:r>
        <w:rPr>
          <w:rFonts w:hint="eastAsia" w:ascii="仿宋" w:hAnsi="仿宋" w:eastAsia="仿宋" w:cs="仿宋"/>
          <w:b w:val="0"/>
          <w:bCs w:val="0"/>
          <w:i w:val="0"/>
          <w:iCs w:val="0"/>
          <w:caps w:val="0"/>
          <w:color w:val="auto"/>
          <w:spacing w:val="9"/>
          <w:sz w:val="32"/>
          <w:szCs w:val="32"/>
          <w:shd w:val="clear" w:fill="FFFFFF"/>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pPr>
        <w:widowControl w:val="0"/>
        <w:numPr>
          <w:ilvl w:val="0"/>
          <w:numId w:val="3"/>
        </w:numPr>
        <w:wordWrap/>
        <w:adjustRightInd/>
        <w:snapToGrid/>
        <w:spacing w:line="560" w:lineRule="exact"/>
        <w:ind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教学创新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 w:hAnsi="仿宋" w:eastAsia="仿宋" w:cs="仿宋"/>
          <w:i w:val="0"/>
          <w:iCs w:val="0"/>
          <w:caps w:val="0"/>
          <w:color w:val="auto"/>
          <w:spacing w:val="9"/>
          <w:sz w:val="32"/>
          <w:szCs w:val="32"/>
        </w:rPr>
      </w:pPr>
      <w:r>
        <w:rPr>
          <w:rFonts w:hint="eastAsia" w:ascii="仿宋" w:hAnsi="仿宋" w:eastAsia="仿宋" w:cs="仿宋"/>
          <w:i w:val="0"/>
          <w:iCs w:val="0"/>
          <w:caps w:val="0"/>
          <w:color w:val="auto"/>
          <w:spacing w:val="9"/>
          <w:sz w:val="32"/>
          <w:szCs w:val="32"/>
        </w:rPr>
        <w:t>课前，通过发布预习课件、网络资源等，与学生进行充分的交流讨论，得到反馈，调整教案，形成最终授课课件。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在课堂上，通过问题启发、病例讨论</w:t>
      </w:r>
      <w:r>
        <w:rPr>
          <w:rFonts w:hint="eastAsia" w:ascii="仿宋" w:hAnsi="仿宋" w:eastAsia="仿宋" w:cs="仿宋"/>
          <w:i w:val="0"/>
          <w:iCs w:val="0"/>
          <w:caps w:val="0"/>
          <w:color w:val="auto"/>
          <w:spacing w:val="9"/>
          <w:sz w:val="32"/>
          <w:szCs w:val="32"/>
          <w:lang w:eastAsia="zh-CN"/>
        </w:rPr>
        <w:t>、</w:t>
      </w:r>
      <w:r>
        <w:rPr>
          <w:rFonts w:hint="eastAsia" w:ascii="仿宋" w:hAnsi="仿宋" w:eastAsia="仿宋" w:cs="仿宋"/>
          <w:i w:val="0"/>
          <w:iCs w:val="0"/>
          <w:caps w:val="0"/>
          <w:color w:val="auto"/>
          <w:spacing w:val="9"/>
          <w:sz w:val="32"/>
          <w:szCs w:val="32"/>
          <w:lang w:val="en-US" w:eastAsia="zh-CN"/>
        </w:rPr>
        <w:t>观看临床手术视频、认识临床科室使用医用材料</w:t>
      </w:r>
      <w:r>
        <w:rPr>
          <w:rFonts w:hint="eastAsia" w:ascii="仿宋" w:hAnsi="仿宋" w:eastAsia="仿宋" w:cs="仿宋"/>
          <w:i w:val="0"/>
          <w:iCs w:val="0"/>
          <w:caps w:val="0"/>
          <w:color w:val="auto"/>
          <w:spacing w:val="9"/>
          <w:sz w:val="32"/>
          <w:szCs w:val="32"/>
        </w:rPr>
        <w:t>等方法使学生的思维动起来，使课堂的气氛活起来，同时配合课堂测验，增强学习效果。</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_GB2312" w:hAnsi="仿宋_GB2312" w:eastAsia="仿宋_GB2312" w:cs="仿宋_GB2312"/>
          <w:b/>
          <w:bCs/>
          <w:color w:val="auto"/>
          <w:sz w:val="32"/>
          <w:szCs w:val="32"/>
          <w:lang w:val="en-US" w:eastAsia="zh-CN"/>
        </w:rPr>
      </w:pPr>
      <w:r>
        <w:rPr>
          <w:rFonts w:hint="eastAsia" w:ascii="仿宋" w:hAnsi="仿宋" w:eastAsia="仿宋" w:cs="仿宋"/>
          <w:i w:val="0"/>
          <w:iCs w:val="0"/>
          <w:caps w:val="0"/>
          <w:color w:val="auto"/>
          <w:spacing w:val="9"/>
          <w:sz w:val="32"/>
          <w:szCs w:val="32"/>
        </w:rPr>
        <w:t>在课后，通过发布拓展内容、课后测试，引导学生复习和自学，通过视频作业的形式，培养学生团队合作能力、集体荣誉感。</w:t>
      </w:r>
    </w:p>
    <w:p>
      <w:pPr>
        <w:widowControl w:val="0"/>
        <w:numPr>
          <w:ilvl w:val="0"/>
          <w:numId w:val="3"/>
        </w:numPr>
        <w:wordWrap/>
        <w:adjustRightInd/>
        <w:snapToGrid/>
        <w:spacing w:line="560" w:lineRule="exact"/>
        <w:ind w:left="0" w:leftChars="0" w:right="0" w:firstLine="0" w:firstLine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课程思政的理念与内涵</w:t>
      </w:r>
    </w:p>
    <w:p>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widowControl w:val="0"/>
        <w:wordWrap/>
        <w:adjustRightInd/>
        <w:snapToGrid/>
        <w:spacing w:line="560" w:lineRule="exact"/>
        <w:ind w:right="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专业知识与思政元素的有机融合</w:t>
      </w:r>
    </w:p>
    <w:p>
      <w:pPr>
        <w:widowControl w:val="0"/>
        <w:wordWrap/>
        <w:adjustRightInd/>
        <w:snapToGrid/>
        <w:spacing w:line="360" w:lineRule="auto"/>
        <w:ind w:firstLine="676" w:firstLineChars="200"/>
        <w:textAlignment w:val="auto"/>
        <w:rPr>
          <w:rFonts w:hint="eastAsia" w:ascii="仿宋" w:hAnsi="仿宋" w:eastAsia="仿宋" w:cs="仿宋"/>
          <w:sz w:val="32"/>
          <w:szCs w:val="32"/>
          <w:lang w:val="en-US" w:eastAsia="zh-CN"/>
        </w:rPr>
      </w:pPr>
      <w:r>
        <w:rPr>
          <w:rFonts w:hint="default" w:ascii="Times New Roman" w:hAnsi="Times New Roman" w:eastAsia="仿宋" w:cs="Times New Roman"/>
          <w:i w:val="0"/>
          <w:iCs w:val="0"/>
          <w:caps w:val="0"/>
          <w:color w:val="auto"/>
          <w:spacing w:val="9"/>
          <w:sz w:val="32"/>
          <w:szCs w:val="32"/>
          <w:shd w:val="clear" w:fill="FFFFFF"/>
        </w:rPr>
        <w:t>2020年5月</w:t>
      </w:r>
      <w:r>
        <w:rPr>
          <w:rFonts w:hint="eastAsia" w:ascii="仿宋" w:hAnsi="仿宋" w:eastAsia="仿宋" w:cs="仿宋"/>
          <w:i w:val="0"/>
          <w:iCs w:val="0"/>
          <w:caps w:val="0"/>
          <w:color w:val="auto"/>
          <w:spacing w:val="9"/>
          <w:sz w:val="32"/>
          <w:szCs w:val="32"/>
          <w:shd w:val="clear" w:fill="FFFFFF"/>
        </w:rPr>
        <w:t>，教育部印发《高等学校课程思政建设指导纲要》，提出要全面推进高校课程思政建设，发挥好每门课程的育人作用，课程思政的育人理念与护理人文关怀教育的职业诉求相契合。“</w:t>
      </w:r>
      <w:r>
        <w:rPr>
          <w:rFonts w:hint="eastAsia" w:ascii="仿宋" w:hAnsi="仿宋" w:eastAsia="仿宋" w:cs="仿宋"/>
          <w:i w:val="0"/>
          <w:iCs w:val="0"/>
          <w:caps w:val="0"/>
          <w:color w:val="auto"/>
          <w:spacing w:val="9"/>
          <w:sz w:val="32"/>
          <w:szCs w:val="32"/>
          <w:shd w:val="clear" w:fill="FFFFFF"/>
          <w:lang w:eastAsia="zh-CN"/>
        </w:rPr>
        <w:t>成人</w:t>
      </w:r>
      <w:r>
        <w:rPr>
          <w:rFonts w:hint="eastAsia" w:ascii="仿宋" w:hAnsi="仿宋" w:eastAsia="仿宋" w:cs="仿宋"/>
          <w:i w:val="0"/>
          <w:iCs w:val="0"/>
          <w:caps w:val="0"/>
          <w:color w:val="auto"/>
          <w:spacing w:val="9"/>
          <w:sz w:val="32"/>
          <w:szCs w:val="32"/>
          <w:shd w:val="clear" w:fill="FFFFFF"/>
        </w:rPr>
        <w:t>护理学”是</w:t>
      </w:r>
      <w:r>
        <w:rPr>
          <w:rFonts w:hint="eastAsia" w:ascii="仿宋" w:hAnsi="仿宋" w:eastAsia="仿宋" w:cs="仿宋"/>
          <w:i w:val="0"/>
          <w:iCs w:val="0"/>
          <w:caps w:val="0"/>
          <w:color w:val="auto"/>
          <w:spacing w:val="9"/>
          <w:sz w:val="32"/>
          <w:szCs w:val="32"/>
          <w:shd w:val="clear" w:fill="FFFFFF"/>
          <w:lang w:eastAsia="zh-CN"/>
        </w:rPr>
        <w:t>专升本</w:t>
      </w:r>
      <w:r>
        <w:rPr>
          <w:rFonts w:hint="eastAsia" w:ascii="仿宋" w:hAnsi="仿宋" w:eastAsia="仿宋" w:cs="仿宋"/>
          <w:i w:val="0"/>
          <w:iCs w:val="0"/>
          <w:caps w:val="0"/>
          <w:color w:val="auto"/>
          <w:spacing w:val="9"/>
          <w:sz w:val="32"/>
          <w:szCs w:val="32"/>
          <w:shd w:val="clear" w:fill="FFFFFF"/>
        </w:rPr>
        <w:t>学生需要学习一年的专业必修课，分上下两部分。</w:t>
      </w:r>
      <w:r>
        <w:rPr>
          <w:rFonts w:hint="eastAsia" w:ascii="仿宋" w:hAnsi="仿宋" w:eastAsia="仿宋" w:cs="仿宋"/>
          <w:i w:val="0"/>
          <w:iCs w:val="0"/>
          <w:caps w:val="0"/>
          <w:color w:val="auto"/>
          <w:spacing w:val="9"/>
          <w:sz w:val="32"/>
          <w:szCs w:val="32"/>
          <w:shd w:val="clear" w:fill="FFFFFF"/>
          <w:lang w:eastAsia="zh-CN"/>
        </w:rPr>
        <w:t>融合</w:t>
      </w:r>
      <w:r>
        <w:rPr>
          <w:rFonts w:hint="eastAsia" w:ascii="仿宋" w:hAnsi="仿宋" w:eastAsia="仿宋" w:cs="仿宋"/>
          <w:i w:val="0"/>
          <w:iCs w:val="0"/>
          <w:caps w:val="0"/>
          <w:color w:val="auto"/>
          <w:spacing w:val="9"/>
          <w:sz w:val="32"/>
          <w:szCs w:val="32"/>
          <w:shd w:val="clear" w:fill="FFFFFF"/>
        </w:rPr>
        <w:t>了“</w:t>
      </w:r>
      <w:r>
        <w:rPr>
          <w:rFonts w:hint="eastAsia" w:ascii="仿宋" w:hAnsi="仿宋" w:eastAsia="仿宋" w:cs="仿宋"/>
          <w:i w:val="0"/>
          <w:iCs w:val="0"/>
          <w:caps w:val="0"/>
          <w:color w:val="auto"/>
          <w:spacing w:val="9"/>
          <w:sz w:val="32"/>
          <w:szCs w:val="32"/>
          <w:shd w:val="clear" w:fill="FFFFFF"/>
          <w:lang w:eastAsia="zh-CN"/>
        </w:rPr>
        <w:t>内科护理学</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eastAsia="zh-CN"/>
        </w:rPr>
        <w:t>外科护理学</w:t>
      </w:r>
      <w:r>
        <w:rPr>
          <w:rFonts w:hint="eastAsia" w:ascii="仿宋" w:hAnsi="仿宋" w:eastAsia="仿宋" w:cs="仿宋"/>
          <w:i w:val="0"/>
          <w:iCs w:val="0"/>
          <w:caps w:val="0"/>
          <w:color w:val="auto"/>
          <w:spacing w:val="9"/>
          <w:sz w:val="32"/>
          <w:szCs w:val="32"/>
          <w:shd w:val="clear" w:fill="FFFFFF"/>
        </w:rPr>
        <w:t>”等专业课程，同时为学生临床实习奠定了理论基础，与护理科研和国家护理事业的发展密不可分。</w:t>
      </w:r>
      <w:r>
        <w:rPr>
          <w:rFonts w:hint="default" w:ascii="Times New Roman" w:hAnsi="Times New Roman" w:eastAsia="仿宋" w:cs="Times New Roman"/>
          <w:i w:val="0"/>
          <w:iCs w:val="0"/>
          <w:caps w:val="0"/>
          <w:color w:val="auto"/>
          <w:spacing w:val="9"/>
          <w:sz w:val="32"/>
          <w:szCs w:val="32"/>
          <w:shd w:val="clear" w:fill="FFFFFF"/>
        </w:rPr>
        <w:t>2021年12月2日</w:t>
      </w:r>
      <w:r>
        <w:rPr>
          <w:rFonts w:hint="eastAsia" w:ascii="仿宋" w:hAnsi="仿宋" w:eastAsia="仿宋" w:cs="仿宋"/>
          <w:i w:val="0"/>
          <w:iCs w:val="0"/>
          <w:caps w:val="0"/>
          <w:color w:val="auto"/>
          <w:spacing w:val="9"/>
          <w:sz w:val="32"/>
          <w:szCs w:val="32"/>
          <w:shd w:val="clear" w:fill="FFFFFF"/>
        </w:rPr>
        <w:t>，在第十二届新华网教育论坛上，教育部高等教育司司长吴岩表示，要全力抓好高校教育教学“新基建”，抓专业、抓课程、抓教材、抓学习技术方法、抓教师，通过做好这“五抓”来托起高等教育的高质量。</w:t>
      </w:r>
    </w:p>
    <w:p/>
    <w:sectPr>
      <w:footerReference r:id="rId3" w:type="default"/>
      <w:pgSz w:w="11906" w:h="16838"/>
      <w:pgMar w:top="1440" w:right="1803" w:bottom="1440" w:left="1803" w:header="851" w:footer="992" w:gutter="0"/>
      <w:pgBorders w:offsetFrom="page">
        <w:top w:val="none" w:sz="0" w:space="0"/>
        <w:left w:val="none" w:sz="0" w:space="0"/>
        <w:bottom w:val="none" w:sz="0" w:space="0"/>
        <w:right w:val="none" w:sz="0" w:space="0"/>
      </w:pgBorders>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00"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Calibri" w:hAnsi="Calibri" w:eastAsia="宋体" w:cs="黑体"/>
        <w:kern w:val="2"/>
        <w:sz w:val="18"/>
        <w:szCs w:val="18"/>
        <w:lang w:val="en-US" w:eastAsia="zh-CN" w:bidi="ar-SA"/>
      </w:rPr>
      <w:pict>
        <v:shape id="文本框 2" o:spid="_x0000_s4097" o:spt="202" type="#_x0000_t202"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v:textbox>
        </v:shape>
      </w:pic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87E235"/>
    <w:multiLevelType w:val="singleLevel"/>
    <w:tmpl w:val="A387E235"/>
    <w:lvl w:ilvl="0" w:tentative="0">
      <w:start w:val="4"/>
      <w:numFmt w:val="decimal"/>
      <w:lvlText w:val="%1."/>
      <w:lvlJc w:val="left"/>
      <w:pPr>
        <w:tabs>
          <w:tab w:val="left" w:pos="312"/>
        </w:tabs>
      </w:pPr>
    </w:lvl>
  </w:abstractNum>
  <w:abstractNum w:abstractNumId="1">
    <w:nsid w:val="DD66173E"/>
    <w:multiLevelType w:val="singleLevel"/>
    <w:tmpl w:val="DD66173E"/>
    <w:lvl w:ilvl="0" w:tentative="0">
      <w:start w:val="2"/>
      <w:numFmt w:val="chineseCounting"/>
      <w:suff w:val="nothing"/>
      <w:lvlText w:val="%1、"/>
      <w:lvlJc w:val="left"/>
      <w:rPr>
        <w:rFonts w:hint="eastAsia"/>
      </w:rPr>
    </w:lvl>
  </w:abstractNum>
  <w:abstractNum w:abstractNumId="2">
    <w:nsid w:val="78198B92"/>
    <w:multiLevelType w:val="singleLevel"/>
    <w:tmpl w:val="78198B92"/>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JiNGZlMTVjYzQ3MjU1NjkyMDJhZDYxMTQ2OWJhYzkifQ=="/>
    <w:docVar w:name="KY_MEDREF_DOCUID" w:val="{A847C9A2-A914-4A51-AA4D-E3FB19A7A3ED}"/>
    <w:docVar w:name="KY_MEDREF_VERSION" w:val="3"/>
  </w:docVars>
  <w:rsids>
    <w:rsidRoot w:val="624C18F6"/>
    <w:rsid w:val="028D7421"/>
    <w:rsid w:val="077E62DB"/>
    <w:rsid w:val="09E50E16"/>
    <w:rsid w:val="116F23E8"/>
    <w:rsid w:val="19F3005A"/>
    <w:rsid w:val="20735A50"/>
    <w:rsid w:val="24857B00"/>
    <w:rsid w:val="2E0D4B3F"/>
    <w:rsid w:val="3CD164D2"/>
    <w:rsid w:val="40B60634"/>
    <w:rsid w:val="43823320"/>
    <w:rsid w:val="44CF4EE1"/>
    <w:rsid w:val="450B1E4C"/>
    <w:rsid w:val="46792D10"/>
    <w:rsid w:val="4B4E4840"/>
    <w:rsid w:val="4E257840"/>
    <w:rsid w:val="59037D72"/>
    <w:rsid w:val="5B3B2504"/>
    <w:rsid w:val="5D9D0C8E"/>
    <w:rsid w:val="5E587A58"/>
    <w:rsid w:val="61DF3195"/>
    <w:rsid w:val="624C18F6"/>
    <w:rsid w:val="66F51EDC"/>
    <w:rsid w:val="68DA551E"/>
    <w:rsid w:val="6C7D27AF"/>
    <w:rsid w:val="71E35433"/>
    <w:rsid w:val="73B47087"/>
    <w:rsid w:val="767978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Lines="100" w:afterLines="100" w:line="480" w:lineRule="exact"/>
      <w:jc w:val="center"/>
      <w:outlineLvl w:val="1"/>
    </w:pPr>
    <w:rPr>
      <w:rFonts w:ascii="Calibri Light" w:hAnsi="Calibri Light" w:eastAsia="黑体"/>
      <w:bCs/>
      <w:color w:val="000000"/>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paragraph" w:customStyle="1" w:styleId="11">
    <w:name w:val="Body text|1"/>
    <w:basedOn w:val="1"/>
    <w:qFormat/>
    <w:uiPriority w:val="0"/>
    <w:pPr>
      <w:widowControl w:val="0"/>
      <w:spacing w:before="0" w:beforeAutospacing="0" w:after="190" w:afterAutospacing="0" w:line="432" w:lineRule="auto"/>
      <w:ind w:left="0" w:right="0" w:firstLine="400"/>
      <w:jc w:val="both"/>
    </w:pPr>
    <w:rPr>
      <w:rFonts w:hint="eastAsia" w:ascii="宋体" w:hAnsi="宋体" w:eastAsia="宋体" w:cs="宋体"/>
      <w:kern w:val="2"/>
      <w:sz w:val="30"/>
      <w:szCs w:val="30"/>
      <w:lang w:val="en-US" w:eastAsia="zh-CN"/>
    </w:rPr>
  </w:style>
  <w:style w:type="paragraph" w:customStyle="1" w:styleId="12">
    <w:name w:val="_Style 2"/>
    <w:basedOn w:val="1"/>
    <w:next w:val="1"/>
    <w:qFormat/>
    <w:uiPriority w:val="0"/>
    <w:pPr>
      <w:pBdr>
        <w:bottom w:val="single" w:color="auto" w:sz="6" w:space="1"/>
      </w:pBdr>
      <w:jc w:val="center"/>
    </w:pPr>
    <w:rPr>
      <w:rFonts w:ascii="Arial" w:eastAsia="宋体"/>
      <w:vanish/>
      <w:sz w:val="16"/>
    </w:rPr>
  </w:style>
  <w:style w:type="paragraph" w:customStyle="1" w:styleId="13">
    <w:name w:val="List Paragraph"/>
    <w:basedOn w:val="1"/>
    <w:qFormat/>
    <w:uiPriority w:val="34"/>
    <w:pPr>
      <w:ind w:firstLine="420" w:firstLineChars="200"/>
    </w:pPr>
  </w:style>
  <w:style w:type="paragraph" w:customStyle="1" w:styleId="14">
    <w:name w:val="_Style 11"/>
    <w:basedOn w:val="1"/>
    <w:next w:val="1"/>
    <w:qFormat/>
    <w:uiPriority w:val="0"/>
    <w:pPr>
      <w:pBdr>
        <w:top w:val="single" w:color="auto" w:sz="6" w:space="1"/>
      </w:pBdr>
      <w:jc w:val="center"/>
    </w:pPr>
    <w:rPr>
      <w:rFonts w:ascii="Arial" w:eastAsia="宋体"/>
      <w:vanish/>
      <w:sz w:val="16"/>
    </w:rPr>
  </w:style>
  <w:style w:type="paragraph" w:customStyle="1" w:styleId="15">
    <w:name w:val="Body text|3"/>
    <w:basedOn w:val="1"/>
    <w:qFormat/>
    <w:uiPriority w:val="0"/>
    <w:pPr>
      <w:spacing w:after="500"/>
      <w:jc w:val="center"/>
    </w:pPr>
    <w:rPr>
      <w:rFonts w:ascii="宋体" w:hAnsi="宋体" w:eastAsia="宋体" w:cs="宋体"/>
      <w:sz w:val="44"/>
      <w:szCs w:val="44"/>
      <w:lang w:val="zh-TW" w:eastAsia="zh-TW" w:bidi="zh-TW"/>
    </w:rPr>
  </w:style>
  <w:style w:type="character" w:customStyle="1" w:styleId="16">
    <w:name w:val="font111"/>
    <w:basedOn w:val="9"/>
    <w:qFormat/>
    <w:uiPriority w:val="0"/>
    <w:rPr>
      <w:rFonts w:hint="eastAsia" w:ascii="Times New Roman" w:hAnsi="Times New Roman" w:cs="Times New Roman"/>
      <w:color w:val="000000"/>
      <w:sz w:val="22"/>
      <w:szCs w:val="22"/>
      <w:u w:val="none"/>
    </w:rPr>
  </w:style>
  <w:style w:type="character" w:customStyle="1" w:styleId="17">
    <w:name w:val="font01"/>
    <w:basedOn w:val="9"/>
    <w:qFormat/>
    <w:uiPriority w:val="0"/>
    <w:rPr>
      <w:rFonts w:hint="eastAsia" w:ascii="Times New Roman" w:hAnsi="Times New Roman" w:cs="Times New Roman"/>
      <w:b/>
      <w:color w:val="000000"/>
      <w:sz w:val="22"/>
      <w:szCs w:val="22"/>
      <w:u w:val="none"/>
    </w:rPr>
  </w:style>
  <w:style w:type="character" w:customStyle="1" w:styleId="18">
    <w:name w:val="font41"/>
    <w:basedOn w:val="9"/>
    <w:qFormat/>
    <w:uiPriority w:val="0"/>
    <w:rPr>
      <w:rFonts w:hint="eastAsia" w:ascii="Times New Roman" w:hAnsi="Times New Roman" w:cs="Times New Roman"/>
      <w:b/>
      <w:color w:val="000000"/>
      <w:sz w:val="22"/>
      <w:szCs w:val="22"/>
      <w:u w:val="none"/>
    </w:rPr>
  </w:style>
  <w:style w:type="character" w:customStyle="1" w:styleId="19">
    <w:name w:val="font121"/>
    <w:basedOn w:val="9"/>
    <w:qFormat/>
    <w:uiPriority w:val="0"/>
    <w:rPr>
      <w:rFonts w:hint="eastAsia" w:ascii="宋体" w:hAnsi="宋体" w:eastAsia="宋体" w:cs="宋体"/>
      <w:b/>
      <w:color w:val="000000"/>
      <w:sz w:val="22"/>
      <w:szCs w:val="22"/>
      <w:u w:val="none"/>
    </w:rPr>
  </w:style>
  <w:style w:type="character" w:customStyle="1" w:styleId="20">
    <w:name w:val="font31"/>
    <w:basedOn w:val="9"/>
    <w:qFormat/>
    <w:uiPriority w:val="0"/>
    <w:rPr>
      <w:rFonts w:hint="eastAsia" w:ascii="宋体" w:hAnsi="宋体" w:eastAsia="宋体" w:cs="宋体"/>
      <w:b/>
      <w:color w:val="000000"/>
      <w:sz w:val="22"/>
      <w:szCs w:val="22"/>
      <w:u w:val="none"/>
    </w:rPr>
  </w:style>
  <w:style w:type="character" w:customStyle="1" w:styleId="21">
    <w:name w:val="font61"/>
    <w:basedOn w:val="9"/>
    <w:qFormat/>
    <w:uiPriority w:val="0"/>
    <w:rPr>
      <w:rFonts w:hint="eastAsia" w:ascii="宋体" w:hAnsi="宋体" w:eastAsia="宋体" w:cs="宋体"/>
      <w:color w:val="000000"/>
      <w:sz w:val="22"/>
      <w:szCs w:val="22"/>
      <w:u w:val="none"/>
    </w:rPr>
  </w:style>
  <w:style w:type="character" w:customStyle="1" w:styleId="22">
    <w:name w:val="font81"/>
    <w:basedOn w:val="9"/>
    <w:qFormat/>
    <w:uiPriority w:val="0"/>
    <w:rPr>
      <w:rFonts w:hint="eastAsia" w:ascii="Times New Roman" w:hAnsi="Times New Roman" w:cs="Times New Roman"/>
      <w:color w:val="000000"/>
      <w:sz w:val="24"/>
      <w:szCs w:val="24"/>
      <w:u w:val="none"/>
    </w:rPr>
  </w:style>
  <w:style w:type="character" w:customStyle="1" w:styleId="23">
    <w:name w:val="font71"/>
    <w:basedOn w:val="9"/>
    <w:qFormat/>
    <w:uiPriority w:val="0"/>
    <w:rPr>
      <w:rFonts w:hint="eastAsia" w:ascii="方正仿宋_GB2312" w:hAnsi="方正仿宋_GB2312" w:eastAsia="方正仿宋_GB2312" w:cs="方正仿宋_GB2312"/>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6</Pages>
  <Words>2715</Words>
  <Characters>2735</Characters>
  <Lines>1</Lines>
  <Paragraphs>1</Paragraphs>
  <TotalTime>41</TotalTime>
  <ScaleCrop>false</ScaleCrop>
  <LinksUpToDate>false</LinksUpToDate>
  <CharactersWithSpaces>2745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2022-10-31T07:22:00Z</dcterms:created>
  <dc:creator>刘灵芝</dc:creator>
  <cp:lastModifiedBy>诗雨</cp:lastModifiedBy>
  <cp:lastPrinted>2022-10-31T09:03:00Z</cp:lastPrinted>
  <dcterms:modified xsi:type="dcterms:W3CDTF">2023-07-04T06:43:20Z</dcterms:modified>
  <dc:title>关于组织开展首批高校课程思政示范项目验收和第三批示范培育项目及优秀教学案例遴选工作的通知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865BDC21EC6842338B4FF97927C34AE8</vt:lpwstr>
  </property>
</Properties>
</file>