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before="0" w:after="0" w:line="276" w:lineRule="auto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齐齐哈尔医学院教学互动e站</w:t>
      </w:r>
      <w:bookmarkStart w:id="25" w:name="_GoBack"/>
      <w:r>
        <w:rPr>
          <w:rFonts w:hint="eastAsia"/>
          <w:sz w:val="28"/>
          <w:szCs w:val="28"/>
          <w:lang w:eastAsia="zh-CN"/>
        </w:rPr>
        <w:t>学生</w:t>
      </w:r>
      <w:r>
        <w:rPr>
          <w:rFonts w:hint="eastAsia"/>
          <w:sz w:val="28"/>
          <w:szCs w:val="28"/>
        </w:rPr>
        <w:t>使用手册</w:t>
      </w:r>
      <w:bookmarkEnd w:id="25"/>
    </w:p>
    <w:p>
      <w:pPr>
        <w:jc w:val="center"/>
      </w:pPr>
      <w:r>
        <w:rPr>
          <w:rFonts w:hint="eastAsia"/>
        </w:rPr>
        <w:t xml:space="preserve">               </w:t>
      </w:r>
    </w:p>
    <w:p>
      <w:pPr>
        <w:pStyle w:val="4"/>
        <w:snapToGrid w:val="0"/>
        <w:spacing w:before="0" w:after="0" w:line="276" w:lineRule="auto"/>
        <w:rPr>
          <w:b w:val="0"/>
          <w:sz w:val="28"/>
          <w:szCs w:val="28"/>
        </w:rPr>
      </w:pPr>
      <w:bookmarkStart w:id="0" w:name="_Toc285"/>
      <w:bookmarkStart w:id="1" w:name="_Toc26312"/>
      <w:r>
        <w:rPr>
          <w:rFonts w:hint="eastAsia"/>
          <w:sz w:val="28"/>
          <w:szCs w:val="28"/>
        </w:rPr>
        <w:t>一、登录</w:t>
      </w:r>
      <w:bookmarkEnd w:id="0"/>
      <w:bookmarkEnd w:id="1"/>
    </w:p>
    <w:p>
      <w:pPr>
        <w:pStyle w:val="4"/>
        <w:snapToGrid w:val="0"/>
        <w:spacing w:before="0" w:after="0" w:line="276" w:lineRule="auto"/>
        <w:rPr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>电脑PC端：齐齐哈尔医学院网站—高教研究与教学质量评估中心网站—右下角教学互动e站（个人端）—输入账号密码（账号为工号，初始密码同工号），或选择统一身份认证登录。</w:t>
      </w:r>
    </w:p>
    <w:p>
      <w:pPr>
        <w:pStyle w:val="4"/>
        <w:snapToGrid w:val="0"/>
        <w:spacing w:before="0" w:after="0" w:line="276" w:lineRule="auto"/>
        <w:rPr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>手机端：关注齐齐哈尔医学院微服务公众号—点击右下角WebVPN—选择CAS单点登录—输入VPN账号及密码—点击教学互动e站</w:t>
      </w:r>
    </w:p>
    <w:p>
      <w:pPr>
        <w:jc w:val="center"/>
      </w:pPr>
      <w:r>
        <w:rPr>
          <w:rFonts w:hint="eastAsia"/>
        </w:rPr>
        <w:t xml:space="preserve">   </w:t>
      </w:r>
      <w:r>
        <w:drawing>
          <wp:inline distT="0" distB="0" distL="114300" distR="114300">
            <wp:extent cx="1466215" cy="2879725"/>
            <wp:effectExtent l="0" t="0" r="635" b="15875"/>
            <wp:docPr id="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2" w:name="_Toc342379583"/>
      <w:bookmarkStart w:id="3" w:name="_Toc331972144"/>
      <w:bookmarkStart w:id="4" w:name="_Toc342383632"/>
      <w:bookmarkStart w:id="5" w:name="_Toc342400159"/>
      <w:bookmarkStart w:id="6" w:name="_Toc481075630"/>
      <w:bookmarkStart w:id="7" w:name="_Toc342383615"/>
      <w:bookmarkStart w:id="8" w:name="_Toc342400176"/>
    </w:p>
    <w:p>
      <w:pPr>
        <w:sectPr>
          <w:footerReference r:id="rId3" w:type="default"/>
          <w:type w:val="continuous"/>
          <w:pgSz w:w="11906" w:h="16838"/>
          <w:pgMar w:top="1440" w:right="1800" w:bottom="1440" w:left="1800" w:header="283" w:footer="964" w:gutter="0"/>
          <w:cols w:space="425" w:num="1"/>
          <w:docGrid w:type="lines" w:linePitch="312" w:charSpace="0"/>
        </w:sectPr>
      </w:pPr>
      <w:r>
        <w:rPr>
          <w:rFonts w:hint="eastAsia"/>
        </w:rPr>
        <w:t xml:space="preserve">               </w:t>
      </w:r>
    </w:p>
    <w:bookmarkEnd w:id="2"/>
    <w:bookmarkEnd w:id="3"/>
    <w:bookmarkEnd w:id="4"/>
    <w:bookmarkEnd w:id="5"/>
    <w:bookmarkEnd w:id="6"/>
    <w:bookmarkEnd w:id="7"/>
    <w:bookmarkEnd w:id="8"/>
    <w:p>
      <w:pPr>
        <w:spacing w:line="300" w:lineRule="auto"/>
        <w:rPr>
          <w:sz w:val="28"/>
          <w:szCs w:val="28"/>
        </w:rPr>
      </w:pPr>
      <w:bookmarkStart w:id="9" w:name="_Toc11225"/>
      <w:bookmarkStart w:id="10" w:name="_Toc17633"/>
      <w:bookmarkStart w:id="11" w:name="_Toc481075640"/>
      <w:r>
        <w:rPr>
          <w:rFonts w:hint="eastAsia"/>
          <w:sz w:val="28"/>
          <w:szCs w:val="28"/>
        </w:rPr>
        <w:t>二、首页</w:t>
      </w:r>
      <w:bookmarkEnd w:id="9"/>
      <w:bookmarkEnd w:id="10"/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教师首页</w:t>
      </w:r>
      <w:bookmarkEnd w:id="11"/>
      <w:r>
        <w:rPr>
          <w:rFonts w:hint="eastAsia" w:asciiTheme="minorEastAsia" w:hAnsiTheme="minorEastAsia" w:eastAsiaTheme="minorEastAsia"/>
          <w:sz w:val="28"/>
          <w:szCs w:val="28"/>
        </w:rPr>
        <w:t>模块主要围绕教师在校期间与教学紧密相关的应用，包括：督导听课、同行听课、我的课表、问卷调研、教师评学、教师评价等。</w:t>
      </w:r>
    </w:p>
    <w:p>
      <w:pPr>
        <w:spacing w:line="300" w:lineRule="auto"/>
        <w:jc w:val="center"/>
        <w:rPr>
          <w:rFonts w:asciiTheme="minorEastAsia" w:hAnsiTheme="minorEastAsia" w:eastAsiaTheme="minorEastAsia"/>
          <w:szCs w:val="21"/>
        </w:rPr>
      </w:pPr>
      <w:r>
        <w:drawing>
          <wp:inline distT="0" distB="0" distL="114300" distR="114300">
            <wp:extent cx="1609725" cy="2879725"/>
            <wp:effectExtent l="0" t="0" r="9525" b="15875"/>
            <wp:docPr id="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napToGrid w:val="0"/>
        <w:spacing w:before="0" w:after="0" w:line="276" w:lineRule="auto"/>
        <w:rPr>
          <w:rFonts w:asciiTheme="minorEastAsia" w:hAnsiTheme="minorEastAsia" w:eastAsiaTheme="minorEastAsia"/>
          <w:sz w:val="28"/>
          <w:szCs w:val="28"/>
        </w:rPr>
      </w:pPr>
      <w:bookmarkStart w:id="12" w:name="_Toc12762"/>
      <w:bookmarkStart w:id="13" w:name="_Toc18257"/>
      <w:r>
        <w:rPr>
          <w:rFonts w:hint="eastAsia"/>
          <w:sz w:val="28"/>
          <w:szCs w:val="28"/>
        </w:rPr>
        <w:t>1．调研</w:t>
      </w:r>
      <w:r>
        <w:rPr>
          <w:sz w:val="28"/>
          <w:szCs w:val="28"/>
        </w:rPr>
        <w:t>问卷</w:t>
      </w:r>
      <w:bookmarkEnd w:id="12"/>
      <w:bookmarkEnd w:id="13"/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系统在生成调研问卷通知任务后，及时向用户推送调研问卷通知，打开通知点击“前去调研”，快速进入调研页面，完成本次调研；当调研问卷完成后，通知中的“前去调研”将不可再操作。</w:t>
      </w:r>
    </w:p>
    <w:p>
      <w:pPr>
        <w:jc w:val="center"/>
      </w:pPr>
      <w:r>
        <w:drawing>
          <wp:inline distT="0" distB="0" distL="114300" distR="114300">
            <wp:extent cx="1609725" cy="2879725"/>
            <wp:effectExtent l="0" t="0" r="9525" b="15875"/>
            <wp:docPr id="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drawing>
          <wp:inline distT="0" distB="0" distL="114300" distR="114300">
            <wp:extent cx="1609090" cy="2879725"/>
            <wp:effectExtent l="0" t="0" r="10160" b="15875"/>
            <wp:docPr id="125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napToGrid w:val="0"/>
        <w:spacing w:before="0" w:after="0" w:line="276" w:lineRule="auto"/>
        <w:rPr>
          <w:sz w:val="28"/>
          <w:szCs w:val="28"/>
        </w:rPr>
      </w:pPr>
      <w:bookmarkStart w:id="14" w:name="_Toc14897"/>
      <w:r>
        <w:rPr>
          <w:rFonts w:hint="eastAsia"/>
          <w:sz w:val="28"/>
          <w:szCs w:val="28"/>
        </w:rPr>
        <w:t>2．督导/同行/领导听课</w:t>
      </w:r>
      <w:bookmarkEnd w:id="14"/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点击同行、督导、教师自评等选项，完成对应项目的评价。（督导、同行听课前需要各学院管理员定义同行、定义督导，进行教师自评前需要各单位管理员在系统中录入教师自评表）</w:t>
      </w:r>
    </w:p>
    <w:p>
      <w:pPr>
        <w:spacing w:line="300" w:lineRule="auto"/>
        <w:jc w:val="center"/>
        <w:rPr>
          <w:rFonts w:asciiTheme="minorEastAsia" w:hAnsiTheme="minorEastAsia" w:eastAsiaTheme="minorEastAsia"/>
          <w:szCs w:val="21"/>
        </w:rPr>
      </w:pPr>
      <w:r>
        <w:drawing>
          <wp:inline distT="0" distB="0" distL="114300" distR="114300">
            <wp:extent cx="1617345" cy="2879725"/>
            <wp:effectExtent l="0" t="0" r="1905" b="1587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621790" cy="2879725"/>
            <wp:effectExtent l="0" t="0" r="16510" b="15875"/>
            <wp:docPr id="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2179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Theme="minorEastAsia" w:hAnsiTheme="minorEastAsia" w:eastAsiaTheme="minorEastAsia"/>
          <w:szCs w:val="21"/>
        </w:rPr>
      </w:pPr>
      <w:bookmarkStart w:id="15" w:name="_Toc25992"/>
      <w:r>
        <w:rPr>
          <w:rFonts w:hint="eastAsia"/>
        </w:rPr>
        <w:t>3.督导列表</w:t>
      </w:r>
      <w:bookmarkEnd w:id="15"/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通过任课教师工号/姓名，课程号/课程名，上课日期，上课节次，上课地点，开科学院，教师所在学院等进行课表数据查询；</w:t>
      </w:r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进入课表查询结果列表页面，展示内容包括：当天日期，第几周，星期几，课程名称，教师姓名，上课节次，上课地点等；</w:t>
      </w:r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点击该数据进入课程明细页面，展示内容包括：课程名称，教师姓名，教学班名称，上课节次，上课时间，上课地点，问卷列表，以及该课被督导次数等；点击课程明细页面的</w:t>
      </w:r>
      <w:r>
        <w:rPr>
          <w:sz w:val="28"/>
          <w:szCs w:val="28"/>
        </w:rPr>
        <w:drawing>
          <wp:inline distT="0" distB="0" distL="114300" distR="114300">
            <wp:extent cx="471170" cy="144145"/>
            <wp:effectExtent l="0" t="0" r="5080" b="825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117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/>
          <w:sz w:val="28"/>
          <w:szCs w:val="28"/>
        </w:rPr>
        <w:t>，可查询该教师的其他被督导记录。</w:t>
      </w:r>
    </w:p>
    <w:p>
      <w:pPr>
        <w:spacing w:line="300" w:lineRule="auto"/>
        <w:jc w:val="center"/>
      </w:pPr>
      <w:r>
        <w:t xml:space="preserve">   </w:t>
      </w:r>
      <w:r>
        <w:drawing>
          <wp:inline distT="0" distB="0" distL="114300" distR="114300">
            <wp:extent cx="1617345" cy="2879725"/>
            <wp:effectExtent l="0" t="0" r="1905" b="1587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584960" cy="2879725"/>
            <wp:effectExtent l="0" t="0" r="15240" b="15875"/>
            <wp:docPr id="3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579245" cy="2879725"/>
            <wp:effectExtent l="0" t="0" r="1905" b="15875"/>
            <wp:docPr id="3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7924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如果用户未能及时提交结果，可通过点击 “待提交”进入未提交的结果列表页，点击未提交的课程，重新完成问卷，并提交。</w:t>
      </w:r>
    </w:p>
    <w:p>
      <w:pPr>
        <w:pStyle w:val="4"/>
        <w:rPr>
          <w:rFonts w:asciiTheme="minorEastAsia" w:hAnsiTheme="minorEastAsia" w:eastAsiaTheme="minorEastAsia"/>
          <w:szCs w:val="21"/>
        </w:rPr>
      </w:pPr>
      <w:bookmarkStart w:id="16" w:name="_Toc7417"/>
      <w:r>
        <w:rPr>
          <w:rFonts w:hint="eastAsia"/>
        </w:rPr>
        <w:t>3.1我的听课计划</w:t>
      </w:r>
      <w:bookmarkEnd w:id="16"/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点击计划听课按钮，将该堂课加入到“我的听课计划”中，这样方便用户直接根据计划安排听课/督导。加入计划听课的课程上课时间须晚于当前时间。</w:t>
      </w:r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督导教师自行加入听课计划的待评价听课计划，在“我的听课计划”未评中显示为“拟评价”；管理员自管理端添加的听课计划的待评价听课计划，在“我的听课计划”未评中显示为“重点评价”。</w:t>
      </w:r>
    </w:p>
    <w:p>
      <w:pPr>
        <w:spacing w:line="30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听课计划列表页中可通过点击计划中的课程，进入课程明细页，提交问卷。已提交的听课计划，在我的听课计划“已评”中显示。</w:t>
      </w:r>
    </w:p>
    <w:p>
      <w:pPr>
        <w:spacing w:line="300" w:lineRule="auto"/>
        <w:jc w:val="center"/>
      </w:pPr>
      <w:r>
        <w:rPr>
          <w:rFonts w:hint="eastAsia" w:asciiTheme="minorEastAsia" w:hAnsiTheme="minorEastAsia" w:eastAsiaTheme="minorEastAsia"/>
          <w:snapToGrid w:val="0"/>
          <w:color w:val="000000"/>
          <w:w w:val="0"/>
          <w:kern w:val="0"/>
          <w:szCs w:val="21"/>
          <w:u w:color="000000"/>
          <w:lang w:val="zh-CN" w:bidi="zh-CN"/>
        </w:rPr>
        <w:t xml:space="preserve">    </w:t>
      </w:r>
      <w:r>
        <w:drawing>
          <wp:inline distT="0" distB="0" distL="114300" distR="114300">
            <wp:extent cx="1580515" cy="2879725"/>
            <wp:effectExtent l="0" t="0" r="635" b="15875"/>
            <wp:docPr id="4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8051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1574800" cy="2879725"/>
            <wp:effectExtent l="0" t="0" r="6350" b="15875"/>
            <wp:docPr id="5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Theme="minorEastAsia" w:hAnsiTheme="minorEastAsia" w:eastAsiaTheme="minorEastAsia"/>
          <w:szCs w:val="21"/>
        </w:rPr>
      </w:pPr>
      <w:bookmarkStart w:id="17" w:name="_Toc7808"/>
      <w:r>
        <w:rPr>
          <w:rFonts w:hint="eastAsia"/>
        </w:rPr>
        <w:t>3.2邀请听课</w:t>
      </w:r>
      <w:bookmarkEnd w:id="17"/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点击</w:t>
      </w:r>
      <w:r>
        <w:rPr>
          <w:rFonts w:hint="eastAsia"/>
          <w:sz w:val="28"/>
          <w:szCs w:val="28"/>
        </w:rPr>
        <w:t>督导听课列表页面</w:t>
      </w:r>
      <w:r>
        <w:rPr>
          <w:rFonts w:hint="eastAsia" w:ascii="宋体" w:hAnsi="宋体"/>
          <w:sz w:val="28"/>
          <w:szCs w:val="28"/>
        </w:rPr>
        <w:t>右上角的更多按钮，选择“邀请听课”，进入邀请听课记录列表。</w:t>
      </w:r>
    </w:p>
    <w:p>
      <w:pPr>
        <w:jc w:val="center"/>
      </w:pPr>
      <w:r>
        <w:drawing>
          <wp:inline distT="0" distB="0" distL="114300" distR="114300">
            <wp:extent cx="1616710" cy="2879725"/>
            <wp:effectExtent l="0" t="0" r="2540" b="15875"/>
            <wp:docPr id="5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671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623695" cy="2879725"/>
            <wp:effectExtent l="0" t="0" r="14605" b="15875"/>
            <wp:docPr id="9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2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2369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760220" cy="2879725"/>
            <wp:effectExtent l="0" t="0" r="11430" b="15875"/>
            <wp:docPr id="9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2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6022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邀请听课包括：待接受、已接受、已拒绝、新增邀请。邀请信息包括：课程名称，被邀请教师姓名，上课节次、地点。点击页面右上角的新增邀请按钮，选择自己的课程，点击邀请按钮，邀请其他教师前来听课（可搜索其他教师）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邀请后，被邀请教师的状态变为“待接受”，同时此条记录显示于邀请听课-待接受列表中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pStyle w:val="4"/>
        <w:rPr>
          <w:rFonts w:asciiTheme="minorEastAsia" w:hAnsiTheme="minorEastAsia" w:eastAsiaTheme="minorEastAsia"/>
          <w:szCs w:val="21"/>
        </w:rPr>
      </w:pPr>
      <w:bookmarkStart w:id="18" w:name="_Toc9662"/>
      <w:r>
        <w:rPr>
          <w:rFonts w:hint="eastAsia"/>
        </w:rPr>
        <w:t>3.3可被听的课表</w:t>
      </w:r>
      <w:bookmarkEnd w:id="18"/>
    </w:p>
    <w:p>
      <w:pPr>
        <w:ind w:firstLine="560" w:firstLineChars="200"/>
      </w:pPr>
      <w:r>
        <w:rPr>
          <w:rFonts w:hint="eastAsia"/>
          <w:sz w:val="28"/>
          <w:szCs w:val="28"/>
        </w:rPr>
        <w:t>督导进入可被听的课表，可查看可以听课</w:t>
      </w:r>
      <w:r>
        <w:rPr>
          <w:sz w:val="28"/>
          <w:szCs w:val="28"/>
        </w:rPr>
        <w:t>的教师</w:t>
      </w:r>
      <w:r>
        <w:rPr>
          <w:rFonts w:hint="eastAsia"/>
          <w:sz w:val="28"/>
          <w:szCs w:val="28"/>
        </w:rPr>
        <w:t>课程，点击更多按钮，选择“可被听的课表”，可进入查看课程详情并进行督导评教。</w:t>
      </w:r>
    </w:p>
    <w:p>
      <w:pPr>
        <w:spacing w:line="300" w:lineRule="auto"/>
        <w:rPr>
          <w:rFonts w:asciiTheme="minorEastAsia" w:hAnsiTheme="minorEastAsia" w:eastAsiaTheme="minorEastAsia"/>
          <w:szCs w:val="21"/>
        </w:rPr>
      </w:pPr>
    </w:p>
    <w:p>
      <w:pPr>
        <w:spacing w:line="300" w:lineRule="auto"/>
        <w:jc w:val="left"/>
      </w:pPr>
      <w:r>
        <w:drawing>
          <wp:inline distT="0" distB="0" distL="114300" distR="114300">
            <wp:extent cx="1617345" cy="2879725"/>
            <wp:effectExtent l="0" t="0" r="1905" b="15875"/>
            <wp:docPr id="9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3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615440" cy="2879725"/>
            <wp:effectExtent l="0" t="0" r="3810" b="15875"/>
            <wp:docPr id="10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3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604010" cy="2879725"/>
            <wp:effectExtent l="0" t="0" r="15240" b="15875"/>
            <wp:docPr id="10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3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0401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Theme="minorEastAsia" w:hAnsiTheme="minorEastAsia" w:eastAsiaTheme="minorEastAsia"/>
          <w:szCs w:val="21"/>
        </w:rPr>
      </w:pPr>
      <w:bookmarkStart w:id="19" w:name="_Toc5132"/>
      <w:r>
        <w:rPr>
          <w:rFonts w:hint="eastAsia"/>
        </w:rPr>
        <w:t>3.4意见回复</w:t>
      </w:r>
      <w:bookmarkEnd w:id="19"/>
    </w:p>
    <w:p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院级督导进入意见回复，可查看被听课教师对其提的主观意见的回复，且可进一步跟踪意见回复，点击图4-7页面右上角的更多，选择“意见回复”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300" w:lineRule="auto"/>
      </w:pPr>
      <w:r>
        <w:drawing>
          <wp:inline distT="0" distB="0" distL="114300" distR="114300">
            <wp:extent cx="1616710" cy="2879725"/>
            <wp:effectExtent l="0" t="0" r="2540" b="15875"/>
            <wp:docPr id="7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671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628775" cy="2879725"/>
            <wp:effectExtent l="0" t="0" r="9525" b="15875"/>
            <wp:docPr id="114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4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617980" cy="2879725"/>
            <wp:effectExtent l="0" t="0" r="1270" b="15875"/>
            <wp:docPr id="11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4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Theme="minorEastAsia" w:hAnsiTheme="minorEastAsia" w:eastAsiaTheme="minorEastAsia"/>
          <w:szCs w:val="21"/>
        </w:rPr>
      </w:pPr>
      <w:bookmarkStart w:id="20" w:name="_Toc32523"/>
      <w:r>
        <w:rPr>
          <w:rFonts w:hint="eastAsia"/>
        </w:rPr>
        <w:t>3.5意见反馈</w:t>
      </w:r>
      <w:bookmarkEnd w:id="20"/>
    </w:p>
    <w:p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意见反馈，用于院级督导给需听课教师填写主观意见后，展示该意见的跟踪反馈状态，</w:t>
      </w: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1626235" cy="2879725"/>
            <wp:effectExtent l="0" t="0" r="12065" b="15875"/>
            <wp:docPr id="11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4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2623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napToGrid w:val="0"/>
        <w:spacing w:before="0" w:after="0" w:line="276" w:lineRule="auto"/>
        <w:rPr>
          <w:sz w:val="28"/>
          <w:szCs w:val="28"/>
        </w:rPr>
      </w:pPr>
      <w:bookmarkStart w:id="21" w:name="_Toc2715"/>
      <w:r>
        <w:rPr>
          <w:rFonts w:hint="eastAsia"/>
          <w:sz w:val="28"/>
          <w:szCs w:val="28"/>
        </w:rPr>
        <w:t>4．教师评价</w:t>
      </w:r>
      <w:bookmarkEnd w:id="21"/>
    </w:p>
    <w:p>
      <w:pPr>
        <w:ind w:firstLine="560" w:firstLineChars="200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点击进入教师评价，教师评价列表中展示可以评价的教师问卷极其教师信息。提交的问卷可以在右上角点击已评价，进入已评价页面查看。</w:t>
      </w:r>
    </w:p>
    <w:p>
      <w:pPr>
        <w:rPr>
          <w:rFonts w:asciiTheme="minorEastAsia" w:hAnsiTheme="minorEastAsia" w:eastAsiaTheme="minorEastAsia"/>
          <w:szCs w:val="21"/>
        </w:rPr>
      </w:pPr>
    </w:p>
    <w:p>
      <w:pPr>
        <w:pStyle w:val="3"/>
        <w:snapToGrid w:val="0"/>
        <w:spacing w:before="0" w:after="0" w:line="276" w:lineRule="auto"/>
      </w:pPr>
      <w:bookmarkStart w:id="22" w:name="_Toc29164"/>
      <w:bookmarkStart w:id="23" w:name="_Toc7817"/>
      <w:r>
        <w:rPr>
          <w:rFonts w:hint="eastAsia"/>
          <w:sz w:val="28"/>
          <w:szCs w:val="28"/>
        </w:rPr>
        <w:t>5．评教大数据</w:t>
      </w:r>
      <w:bookmarkEnd w:id="22"/>
      <w:bookmarkEnd w:id="23"/>
    </w:p>
    <w:p>
      <w:pPr>
        <w:jc w:val="center"/>
        <w:rPr>
          <w:rFonts w:asciiTheme="minorEastAsia" w:hAnsiTheme="minorEastAsia" w:eastAsiaTheme="minorEastAsia"/>
          <w:szCs w:val="21"/>
        </w:rPr>
      </w:pPr>
    </w:p>
    <w:p>
      <w:pPr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被评教的教师可通过评教大数据-教师模块查看个人的被评数据情况。可切换学期。</w:t>
      </w:r>
    </w:p>
    <w:p>
      <w:pPr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总览数据可分为7个模块：按问卷、按课程、按问卷课程等。点击进入各个模块页面可查看“按问卷”、“按课程”、“按问卷课程”等更多数据信息。</w:t>
      </w:r>
    </w:p>
    <w:p>
      <w:pPr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按问卷、按课程问卷课程模块中可查看评教问卷的详细分析。教师还可以对一些主观填空题进行回复。</w:t>
      </w:r>
    </w:p>
    <w:p>
      <w:pPr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教师可在问卷查看问卷统计明细中查看排行榜（可分类查看：同教研室、同院系、全校）。</w:t>
      </w:r>
    </w:p>
    <w:p>
      <w:pPr>
        <w:pStyle w:val="3"/>
        <w:snapToGrid w:val="0"/>
        <w:spacing w:before="0" w:after="0" w:line="276" w:lineRule="auto"/>
      </w:pPr>
      <w:bookmarkStart w:id="24" w:name="_Toc7935"/>
      <w:r>
        <w:rPr>
          <w:rFonts w:hint="eastAsia"/>
          <w:sz w:val="28"/>
          <w:szCs w:val="28"/>
        </w:rPr>
        <w:t>6．听课大数据</w:t>
      </w:r>
      <w:bookmarkEnd w:id="24"/>
    </w:p>
    <w:p>
      <w:pPr>
        <w:jc w:val="center"/>
        <w:rPr>
          <w:rFonts w:asciiTheme="minorEastAsia" w:hAnsiTheme="minorEastAsia" w:eastAsiaTheme="minorEastAsia"/>
          <w:szCs w:val="21"/>
        </w:rPr>
      </w:pPr>
    </w:p>
    <w:p>
      <w:pPr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被听课的教师可通过听课大数据模块查看个人的被听课情况。可切换学期。</w:t>
      </w:r>
    </w:p>
    <w:p>
      <w:pPr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总览数据可分为4个模块：按问卷、按课程、按问卷课程、按雷达图。点击进入各个模块页面可查看“按问卷”、“按课程”、“按问卷课程”等更多数据信息。</w:t>
      </w:r>
    </w:p>
    <w:p>
      <w:pPr>
        <w:jc w:val="left"/>
      </w:pPr>
      <w:r>
        <w:drawing>
          <wp:inline distT="0" distB="0" distL="114300" distR="114300">
            <wp:extent cx="1594485" cy="2879725"/>
            <wp:effectExtent l="0" t="0" r="5715" b="15875"/>
            <wp:docPr id="167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4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588770" cy="2879725"/>
            <wp:effectExtent l="0" t="0" r="11430" b="15875"/>
            <wp:docPr id="168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4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8877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577340" cy="2879725"/>
            <wp:effectExtent l="0" t="0" r="3810" b="15875"/>
            <wp:docPr id="169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5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283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 Light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E2A2E"/>
    <w:rsid w:val="0000758C"/>
    <w:rsid w:val="0001186E"/>
    <w:rsid w:val="00030E46"/>
    <w:rsid w:val="00032753"/>
    <w:rsid w:val="00052B0F"/>
    <w:rsid w:val="00053C9E"/>
    <w:rsid w:val="0006785E"/>
    <w:rsid w:val="00075DC5"/>
    <w:rsid w:val="00084181"/>
    <w:rsid w:val="000A79EF"/>
    <w:rsid w:val="000B2CBE"/>
    <w:rsid w:val="000C0DAB"/>
    <w:rsid w:val="000C2B57"/>
    <w:rsid w:val="000D045B"/>
    <w:rsid w:val="000F0C3C"/>
    <w:rsid w:val="000F36FF"/>
    <w:rsid w:val="000F3860"/>
    <w:rsid w:val="00100873"/>
    <w:rsid w:val="001014DE"/>
    <w:rsid w:val="00110B18"/>
    <w:rsid w:val="0012373D"/>
    <w:rsid w:val="001245CE"/>
    <w:rsid w:val="0013689E"/>
    <w:rsid w:val="00140806"/>
    <w:rsid w:val="0014624B"/>
    <w:rsid w:val="00156B1F"/>
    <w:rsid w:val="00161A5F"/>
    <w:rsid w:val="0017073C"/>
    <w:rsid w:val="0018082F"/>
    <w:rsid w:val="001973EF"/>
    <w:rsid w:val="001A278D"/>
    <w:rsid w:val="001C11B5"/>
    <w:rsid w:val="001D3981"/>
    <w:rsid w:val="001D7C5D"/>
    <w:rsid w:val="001E2A2E"/>
    <w:rsid w:val="001F450F"/>
    <w:rsid w:val="002039E7"/>
    <w:rsid w:val="00213D45"/>
    <w:rsid w:val="00217133"/>
    <w:rsid w:val="00220704"/>
    <w:rsid w:val="00220B67"/>
    <w:rsid w:val="00232B55"/>
    <w:rsid w:val="00237427"/>
    <w:rsid w:val="00237E9E"/>
    <w:rsid w:val="002604A8"/>
    <w:rsid w:val="00282C7D"/>
    <w:rsid w:val="00283742"/>
    <w:rsid w:val="002B2D27"/>
    <w:rsid w:val="002C2F8C"/>
    <w:rsid w:val="002C4FF8"/>
    <w:rsid w:val="002C7CFA"/>
    <w:rsid w:val="002E3B2B"/>
    <w:rsid w:val="00300A6B"/>
    <w:rsid w:val="00321713"/>
    <w:rsid w:val="00321E80"/>
    <w:rsid w:val="00322F47"/>
    <w:rsid w:val="0033282C"/>
    <w:rsid w:val="0033474C"/>
    <w:rsid w:val="003378F7"/>
    <w:rsid w:val="00356B36"/>
    <w:rsid w:val="0036006E"/>
    <w:rsid w:val="0036269C"/>
    <w:rsid w:val="00364C65"/>
    <w:rsid w:val="00370381"/>
    <w:rsid w:val="00370890"/>
    <w:rsid w:val="003747D2"/>
    <w:rsid w:val="00384F03"/>
    <w:rsid w:val="003932D7"/>
    <w:rsid w:val="00395238"/>
    <w:rsid w:val="003A100D"/>
    <w:rsid w:val="003A55CC"/>
    <w:rsid w:val="003B4B2C"/>
    <w:rsid w:val="003D0063"/>
    <w:rsid w:val="003F0461"/>
    <w:rsid w:val="0041612E"/>
    <w:rsid w:val="00460531"/>
    <w:rsid w:val="00485048"/>
    <w:rsid w:val="0048579C"/>
    <w:rsid w:val="00495DE3"/>
    <w:rsid w:val="00497A20"/>
    <w:rsid w:val="004A4C10"/>
    <w:rsid w:val="004A5281"/>
    <w:rsid w:val="004B4AEC"/>
    <w:rsid w:val="004D4365"/>
    <w:rsid w:val="00502D1E"/>
    <w:rsid w:val="00511BBC"/>
    <w:rsid w:val="005677A8"/>
    <w:rsid w:val="005764DA"/>
    <w:rsid w:val="005910EB"/>
    <w:rsid w:val="00594272"/>
    <w:rsid w:val="0059496B"/>
    <w:rsid w:val="00595054"/>
    <w:rsid w:val="005B4859"/>
    <w:rsid w:val="005C4D40"/>
    <w:rsid w:val="005D1F35"/>
    <w:rsid w:val="005F79BC"/>
    <w:rsid w:val="00604AD0"/>
    <w:rsid w:val="0060641D"/>
    <w:rsid w:val="00612E36"/>
    <w:rsid w:val="00616202"/>
    <w:rsid w:val="00616D03"/>
    <w:rsid w:val="006240BC"/>
    <w:rsid w:val="0063221B"/>
    <w:rsid w:val="00660A9F"/>
    <w:rsid w:val="00677EA4"/>
    <w:rsid w:val="00683684"/>
    <w:rsid w:val="00685209"/>
    <w:rsid w:val="00686936"/>
    <w:rsid w:val="006906BD"/>
    <w:rsid w:val="00694B31"/>
    <w:rsid w:val="0069514C"/>
    <w:rsid w:val="006A31CD"/>
    <w:rsid w:val="006C055E"/>
    <w:rsid w:val="006C3998"/>
    <w:rsid w:val="006C5E0C"/>
    <w:rsid w:val="006D0782"/>
    <w:rsid w:val="006D5D4A"/>
    <w:rsid w:val="0071000B"/>
    <w:rsid w:val="00720ED9"/>
    <w:rsid w:val="007373AE"/>
    <w:rsid w:val="00737893"/>
    <w:rsid w:val="00742F4A"/>
    <w:rsid w:val="00752F8A"/>
    <w:rsid w:val="007611CF"/>
    <w:rsid w:val="00767118"/>
    <w:rsid w:val="0078301B"/>
    <w:rsid w:val="0078684F"/>
    <w:rsid w:val="007910EA"/>
    <w:rsid w:val="00794512"/>
    <w:rsid w:val="007B736E"/>
    <w:rsid w:val="007D1862"/>
    <w:rsid w:val="007E0716"/>
    <w:rsid w:val="007E2CC1"/>
    <w:rsid w:val="00820609"/>
    <w:rsid w:val="008224E1"/>
    <w:rsid w:val="0082548A"/>
    <w:rsid w:val="00841CE7"/>
    <w:rsid w:val="00851B41"/>
    <w:rsid w:val="00851FBB"/>
    <w:rsid w:val="008567A7"/>
    <w:rsid w:val="008672A0"/>
    <w:rsid w:val="008729D8"/>
    <w:rsid w:val="008754FA"/>
    <w:rsid w:val="0089390B"/>
    <w:rsid w:val="008C4C51"/>
    <w:rsid w:val="008C5A97"/>
    <w:rsid w:val="008C7C8E"/>
    <w:rsid w:val="008D67E6"/>
    <w:rsid w:val="008D6CDE"/>
    <w:rsid w:val="008F0FDD"/>
    <w:rsid w:val="008F2C56"/>
    <w:rsid w:val="008F4FFB"/>
    <w:rsid w:val="00921ABD"/>
    <w:rsid w:val="00922430"/>
    <w:rsid w:val="00922DAB"/>
    <w:rsid w:val="009270B3"/>
    <w:rsid w:val="00942DB2"/>
    <w:rsid w:val="00966A0B"/>
    <w:rsid w:val="00967DB0"/>
    <w:rsid w:val="009733AB"/>
    <w:rsid w:val="009736E9"/>
    <w:rsid w:val="00973A76"/>
    <w:rsid w:val="00976A05"/>
    <w:rsid w:val="009855A3"/>
    <w:rsid w:val="009871AC"/>
    <w:rsid w:val="009953F3"/>
    <w:rsid w:val="009A40EF"/>
    <w:rsid w:val="009A4476"/>
    <w:rsid w:val="009A6E48"/>
    <w:rsid w:val="009B1FC3"/>
    <w:rsid w:val="009B6A3D"/>
    <w:rsid w:val="009D3182"/>
    <w:rsid w:val="009D4CD5"/>
    <w:rsid w:val="009D5F6C"/>
    <w:rsid w:val="009E3F2D"/>
    <w:rsid w:val="009E4375"/>
    <w:rsid w:val="009E44DD"/>
    <w:rsid w:val="00A01173"/>
    <w:rsid w:val="00A261AA"/>
    <w:rsid w:val="00A26737"/>
    <w:rsid w:val="00A4760C"/>
    <w:rsid w:val="00A50D29"/>
    <w:rsid w:val="00A5330C"/>
    <w:rsid w:val="00A53C19"/>
    <w:rsid w:val="00A63C34"/>
    <w:rsid w:val="00A81019"/>
    <w:rsid w:val="00A87F67"/>
    <w:rsid w:val="00A96109"/>
    <w:rsid w:val="00AB1999"/>
    <w:rsid w:val="00AC5624"/>
    <w:rsid w:val="00AC6BB7"/>
    <w:rsid w:val="00AC6FF4"/>
    <w:rsid w:val="00AD1E48"/>
    <w:rsid w:val="00AD2D22"/>
    <w:rsid w:val="00AE04E2"/>
    <w:rsid w:val="00AE48AC"/>
    <w:rsid w:val="00B03732"/>
    <w:rsid w:val="00B03C02"/>
    <w:rsid w:val="00B05EE0"/>
    <w:rsid w:val="00B06034"/>
    <w:rsid w:val="00B0617B"/>
    <w:rsid w:val="00B11DFF"/>
    <w:rsid w:val="00B26822"/>
    <w:rsid w:val="00B32C68"/>
    <w:rsid w:val="00B35CDF"/>
    <w:rsid w:val="00B43169"/>
    <w:rsid w:val="00B53EA0"/>
    <w:rsid w:val="00B728BD"/>
    <w:rsid w:val="00BA709A"/>
    <w:rsid w:val="00BB09A0"/>
    <w:rsid w:val="00BC26BC"/>
    <w:rsid w:val="00BC7166"/>
    <w:rsid w:val="00BC7412"/>
    <w:rsid w:val="00BD374C"/>
    <w:rsid w:val="00BE2BA1"/>
    <w:rsid w:val="00BE5DFF"/>
    <w:rsid w:val="00BE7B78"/>
    <w:rsid w:val="00BF17AA"/>
    <w:rsid w:val="00C02707"/>
    <w:rsid w:val="00C05B70"/>
    <w:rsid w:val="00C076D0"/>
    <w:rsid w:val="00C169EF"/>
    <w:rsid w:val="00C21548"/>
    <w:rsid w:val="00C23C30"/>
    <w:rsid w:val="00C25493"/>
    <w:rsid w:val="00C44164"/>
    <w:rsid w:val="00C55AA7"/>
    <w:rsid w:val="00C5693C"/>
    <w:rsid w:val="00C56E53"/>
    <w:rsid w:val="00C66A97"/>
    <w:rsid w:val="00C676E3"/>
    <w:rsid w:val="00C72215"/>
    <w:rsid w:val="00C74629"/>
    <w:rsid w:val="00C8151B"/>
    <w:rsid w:val="00C81AA0"/>
    <w:rsid w:val="00C84764"/>
    <w:rsid w:val="00C92F3F"/>
    <w:rsid w:val="00C94EE2"/>
    <w:rsid w:val="00CA4782"/>
    <w:rsid w:val="00CC60B3"/>
    <w:rsid w:val="00CD1494"/>
    <w:rsid w:val="00CD1AB2"/>
    <w:rsid w:val="00CD2955"/>
    <w:rsid w:val="00CE65DF"/>
    <w:rsid w:val="00CF0711"/>
    <w:rsid w:val="00CF12E0"/>
    <w:rsid w:val="00D03E50"/>
    <w:rsid w:val="00D21C3F"/>
    <w:rsid w:val="00D2314B"/>
    <w:rsid w:val="00D247EC"/>
    <w:rsid w:val="00D277AD"/>
    <w:rsid w:val="00D3266A"/>
    <w:rsid w:val="00D35529"/>
    <w:rsid w:val="00D37EA8"/>
    <w:rsid w:val="00D44B68"/>
    <w:rsid w:val="00D5493B"/>
    <w:rsid w:val="00D5567A"/>
    <w:rsid w:val="00D60357"/>
    <w:rsid w:val="00D61F44"/>
    <w:rsid w:val="00D73223"/>
    <w:rsid w:val="00D76336"/>
    <w:rsid w:val="00D811E0"/>
    <w:rsid w:val="00D938C2"/>
    <w:rsid w:val="00DA15D8"/>
    <w:rsid w:val="00DA2EA1"/>
    <w:rsid w:val="00DD1FF6"/>
    <w:rsid w:val="00DD323E"/>
    <w:rsid w:val="00DD7263"/>
    <w:rsid w:val="00DE720B"/>
    <w:rsid w:val="00E02242"/>
    <w:rsid w:val="00E03E8A"/>
    <w:rsid w:val="00E05AE6"/>
    <w:rsid w:val="00E1371B"/>
    <w:rsid w:val="00E25BDA"/>
    <w:rsid w:val="00E4181F"/>
    <w:rsid w:val="00E42D2B"/>
    <w:rsid w:val="00E548CB"/>
    <w:rsid w:val="00E565FF"/>
    <w:rsid w:val="00E741DE"/>
    <w:rsid w:val="00E87533"/>
    <w:rsid w:val="00E91814"/>
    <w:rsid w:val="00E963E8"/>
    <w:rsid w:val="00EA6E99"/>
    <w:rsid w:val="00EB4A12"/>
    <w:rsid w:val="00EC146E"/>
    <w:rsid w:val="00EC1D70"/>
    <w:rsid w:val="00EC7158"/>
    <w:rsid w:val="00ED0B06"/>
    <w:rsid w:val="00EE3889"/>
    <w:rsid w:val="00EE759B"/>
    <w:rsid w:val="00EE77FB"/>
    <w:rsid w:val="00EF1BAD"/>
    <w:rsid w:val="00F05012"/>
    <w:rsid w:val="00F07208"/>
    <w:rsid w:val="00F17F09"/>
    <w:rsid w:val="00F20B09"/>
    <w:rsid w:val="00F23460"/>
    <w:rsid w:val="00F330A6"/>
    <w:rsid w:val="00F41C4B"/>
    <w:rsid w:val="00F6026B"/>
    <w:rsid w:val="00F61F9C"/>
    <w:rsid w:val="00F836C7"/>
    <w:rsid w:val="00F87EB2"/>
    <w:rsid w:val="00F90727"/>
    <w:rsid w:val="00FA47EB"/>
    <w:rsid w:val="00FA584D"/>
    <w:rsid w:val="00FB0B03"/>
    <w:rsid w:val="00FB38DE"/>
    <w:rsid w:val="00FC1060"/>
    <w:rsid w:val="00FD52F5"/>
    <w:rsid w:val="00FF7AC1"/>
    <w:rsid w:val="01736C9F"/>
    <w:rsid w:val="01800778"/>
    <w:rsid w:val="01C84634"/>
    <w:rsid w:val="01CD5AB8"/>
    <w:rsid w:val="024B4D07"/>
    <w:rsid w:val="02654279"/>
    <w:rsid w:val="029804E5"/>
    <w:rsid w:val="02A44E8B"/>
    <w:rsid w:val="02EB0EDE"/>
    <w:rsid w:val="02F27590"/>
    <w:rsid w:val="030739C4"/>
    <w:rsid w:val="04056453"/>
    <w:rsid w:val="04271D79"/>
    <w:rsid w:val="044C6409"/>
    <w:rsid w:val="04506B1F"/>
    <w:rsid w:val="04C968F5"/>
    <w:rsid w:val="05194441"/>
    <w:rsid w:val="05396FEC"/>
    <w:rsid w:val="05403413"/>
    <w:rsid w:val="05A95C77"/>
    <w:rsid w:val="05B16AC4"/>
    <w:rsid w:val="05D12F1C"/>
    <w:rsid w:val="06262738"/>
    <w:rsid w:val="066073F2"/>
    <w:rsid w:val="06742C0F"/>
    <w:rsid w:val="06996156"/>
    <w:rsid w:val="06AF0464"/>
    <w:rsid w:val="07246430"/>
    <w:rsid w:val="079352AF"/>
    <w:rsid w:val="08280AF9"/>
    <w:rsid w:val="08F54AEC"/>
    <w:rsid w:val="09073BE8"/>
    <w:rsid w:val="09450D21"/>
    <w:rsid w:val="096A6906"/>
    <w:rsid w:val="099604F7"/>
    <w:rsid w:val="09A34F63"/>
    <w:rsid w:val="09CA0E0C"/>
    <w:rsid w:val="0A0B2A34"/>
    <w:rsid w:val="0A2D3228"/>
    <w:rsid w:val="0A2F0370"/>
    <w:rsid w:val="0A70109D"/>
    <w:rsid w:val="0A8861F3"/>
    <w:rsid w:val="0AB148C7"/>
    <w:rsid w:val="0B0621B2"/>
    <w:rsid w:val="0B5B34B1"/>
    <w:rsid w:val="0B5C1226"/>
    <w:rsid w:val="0B6150E0"/>
    <w:rsid w:val="0B6A7139"/>
    <w:rsid w:val="0B7442AE"/>
    <w:rsid w:val="0B7931AC"/>
    <w:rsid w:val="0C3015F8"/>
    <w:rsid w:val="0C752135"/>
    <w:rsid w:val="0C8E1AC1"/>
    <w:rsid w:val="0CF93EF6"/>
    <w:rsid w:val="0D5A3DF0"/>
    <w:rsid w:val="0D5E1227"/>
    <w:rsid w:val="0D93404A"/>
    <w:rsid w:val="0E7E17BB"/>
    <w:rsid w:val="0EAF4887"/>
    <w:rsid w:val="0EE250D6"/>
    <w:rsid w:val="0F410E9B"/>
    <w:rsid w:val="0F650B6E"/>
    <w:rsid w:val="0F7F3D8A"/>
    <w:rsid w:val="0FF2498C"/>
    <w:rsid w:val="10006CD4"/>
    <w:rsid w:val="103C3776"/>
    <w:rsid w:val="10594EE3"/>
    <w:rsid w:val="10683626"/>
    <w:rsid w:val="10924690"/>
    <w:rsid w:val="116F5CE9"/>
    <w:rsid w:val="11AF1EE3"/>
    <w:rsid w:val="11B14AD0"/>
    <w:rsid w:val="122E1767"/>
    <w:rsid w:val="122E22E5"/>
    <w:rsid w:val="12F06915"/>
    <w:rsid w:val="1373112D"/>
    <w:rsid w:val="13A9309A"/>
    <w:rsid w:val="14AA1221"/>
    <w:rsid w:val="15423B13"/>
    <w:rsid w:val="15517293"/>
    <w:rsid w:val="15602AF2"/>
    <w:rsid w:val="15A82232"/>
    <w:rsid w:val="165B3C69"/>
    <w:rsid w:val="167834ED"/>
    <w:rsid w:val="16960466"/>
    <w:rsid w:val="16B25ACA"/>
    <w:rsid w:val="173C59FE"/>
    <w:rsid w:val="174245F6"/>
    <w:rsid w:val="17BD1D02"/>
    <w:rsid w:val="17D9531E"/>
    <w:rsid w:val="17F011C3"/>
    <w:rsid w:val="17F33737"/>
    <w:rsid w:val="181856ED"/>
    <w:rsid w:val="18333FD5"/>
    <w:rsid w:val="18811480"/>
    <w:rsid w:val="192D07A8"/>
    <w:rsid w:val="198C6972"/>
    <w:rsid w:val="19FB7CF4"/>
    <w:rsid w:val="1AE94F28"/>
    <w:rsid w:val="1AF27203"/>
    <w:rsid w:val="1B5D42CA"/>
    <w:rsid w:val="1B5F0A94"/>
    <w:rsid w:val="1B8876E3"/>
    <w:rsid w:val="1BAA2494"/>
    <w:rsid w:val="1BAB278D"/>
    <w:rsid w:val="1C131DC5"/>
    <w:rsid w:val="1C7030BA"/>
    <w:rsid w:val="1CE84B43"/>
    <w:rsid w:val="1D17485D"/>
    <w:rsid w:val="1D3517D3"/>
    <w:rsid w:val="1DA8530C"/>
    <w:rsid w:val="1DCF1594"/>
    <w:rsid w:val="1E1C5785"/>
    <w:rsid w:val="1E982D18"/>
    <w:rsid w:val="1EF45EA2"/>
    <w:rsid w:val="1F132F5E"/>
    <w:rsid w:val="1F996F4D"/>
    <w:rsid w:val="1FD756F1"/>
    <w:rsid w:val="1FE8470C"/>
    <w:rsid w:val="204443EA"/>
    <w:rsid w:val="205F387B"/>
    <w:rsid w:val="206D540F"/>
    <w:rsid w:val="206F0500"/>
    <w:rsid w:val="209D2688"/>
    <w:rsid w:val="209E60C5"/>
    <w:rsid w:val="20B97AFC"/>
    <w:rsid w:val="20C26053"/>
    <w:rsid w:val="20E5614C"/>
    <w:rsid w:val="211B575E"/>
    <w:rsid w:val="21397B22"/>
    <w:rsid w:val="21425801"/>
    <w:rsid w:val="21520D0C"/>
    <w:rsid w:val="217A3305"/>
    <w:rsid w:val="21A86B95"/>
    <w:rsid w:val="21B9532B"/>
    <w:rsid w:val="22096061"/>
    <w:rsid w:val="220A2652"/>
    <w:rsid w:val="222D59FA"/>
    <w:rsid w:val="226F680B"/>
    <w:rsid w:val="227B4498"/>
    <w:rsid w:val="22F47918"/>
    <w:rsid w:val="231E1600"/>
    <w:rsid w:val="23812740"/>
    <w:rsid w:val="23921012"/>
    <w:rsid w:val="23AB494E"/>
    <w:rsid w:val="23B30226"/>
    <w:rsid w:val="23DC66B4"/>
    <w:rsid w:val="24096EB6"/>
    <w:rsid w:val="24595936"/>
    <w:rsid w:val="2487495D"/>
    <w:rsid w:val="2495719B"/>
    <w:rsid w:val="24997DCD"/>
    <w:rsid w:val="25F77CC7"/>
    <w:rsid w:val="26364C6B"/>
    <w:rsid w:val="26652E28"/>
    <w:rsid w:val="26B17EB7"/>
    <w:rsid w:val="26E448E1"/>
    <w:rsid w:val="26FA1CD9"/>
    <w:rsid w:val="275247E5"/>
    <w:rsid w:val="275E5D1A"/>
    <w:rsid w:val="27C62466"/>
    <w:rsid w:val="28591804"/>
    <w:rsid w:val="287D4B14"/>
    <w:rsid w:val="28A0360F"/>
    <w:rsid w:val="28A36E57"/>
    <w:rsid w:val="28CF1595"/>
    <w:rsid w:val="29526B4D"/>
    <w:rsid w:val="29A73DEB"/>
    <w:rsid w:val="29DC6B4F"/>
    <w:rsid w:val="29F86FCC"/>
    <w:rsid w:val="2A1B51AF"/>
    <w:rsid w:val="2A602587"/>
    <w:rsid w:val="2AA4493A"/>
    <w:rsid w:val="2ACB04A4"/>
    <w:rsid w:val="2B393014"/>
    <w:rsid w:val="2B56617A"/>
    <w:rsid w:val="2B7D46A9"/>
    <w:rsid w:val="2C5B0DB4"/>
    <w:rsid w:val="2C975037"/>
    <w:rsid w:val="2CC74520"/>
    <w:rsid w:val="2CF268BD"/>
    <w:rsid w:val="2D453607"/>
    <w:rsid w:val="2D4D0162"/>
    <w:rsid w:val="2D5A1899"/>
    <w:rsid w:val="2D9E5B93"/>
    <w:rsid w:val="2E1F7D72"/>
    <w:rsid w:val="2E4A7C39"/>
    <w:rsid w:val="2EBB1F43"/>
    <w:rsid w:val="2F036918"/>
    <w:rsid w:val="2F5948AB"/>
    <w:rsid w:val="2F6E5F33"/>
    <w:rsid w:val="2F6F0BF9"/>
    <w:rsid w:val="2FD26D1F"/>
    <w:rsid w:val="302153D0"/>
    <w:rsid w:val="30412CCF"/>
    <w:rsid w:val="30723CA6"/>
    <w:rsid w:val="314468AD"/>
    <w:rsid w:val="319D273C"/>
    <w:rsid w:val="31C1434E"/>
    <w:rsid w:val="32491D84"/>
    <w:rsid w:val="32987442"/>
    <w:rsid w:val="32BD488E"/>
    <w:rsid w:val="32D712D0"/>
    <w:rsid w:val="33B63EE2"/>
    <w:rsid w:val="34187F6B"/>
    <w:rsid w:val="34915B0F"/>
    <w:rsid w:val="34B557DC"/>
    <w:rsid w:val="34C47E14"/>
    <w:rsid w:val="3562201A"/>
    <w:rsid w:val="358804F6"/>
    <w:rsid w:val="3591403E"/>
    <w:rsid w:val="359A0CEF"/>
    <w:rsid w:val="35A2632E"/>
    <w:rsid w:val="35D93A06"/>
    <w:rsid w:val="35F83688"/>
    <w:rsid w:val="3602670E"/>
    <w:rsid w:val="362E5393"/>
    <w:rsid w:val="36690C42"/>
    <w:rsid w:val="36A31E0B"/>
    <w:rsid w:val="36A34004"/>
    <w:rsid w:val="38A6326B"/>
    <w:rsid w:val="38F04341"/>
    <w:rsid w:val="3969206D"/>
    <w:rsid w:val="39891364"/>
    <w:rsid w:val="39A9761C"/>
    <w:rsid w:val="39AD40E2"/>
    <w:rsid w:val="3ADE055F"/>
    <w:rsid w:val="3B0B674C"/>
    <w:rsid w:val="3B251AA4"/>
    <w:rsid w:val="3B317C30"/>
    <w:rsid w:val="3B4C1A9A"/>
    <w:rsid w:val="3BA86603"/>
    <w:rsid w:val="3BC10B4E"/>
    <w:rsid w:val="3C23577F"/>
    <w:rsid w:val="3D2130FC"/>
    <w:rsid w:val="3D224E69"/>
    <w:rsid w:val="3E38282D"/>
    <w:rsid w:val="3EC73536"/>
    <w:rsid w:val="3F8A29A8"/>
    <w:rsid w:val="3FF144FE"/>
    <w:rsid w:val="40F53D97"/>
    <w:rsid w:val="417F6BA7"/>
    <w:rsid w:val="418D0237"/>
    <w:rsid w:val="41CA2F83"/>
    <w:rsid w:val="42266040"/>
    <w:rsid w:val="424B3760"/>
    <w:rsid w:val="42544BBC"/>
    <w:rsid w:val="4279515E"/>
    <w:rsid w:val="42BE221A"/>
    <w:rsid w:val="42C07FCC"/>
    <w:rsid w:val="42E74B03"/>
    <w:rsid w:val="43556DF9"/>
    <w:rsid w:val="43B23B6D"/>
    <w:rsid w:val="43F93C10"/>
    <w:rsid w:val="44486BE1"/>
    <w:rsid w:val="44691999"/>
    <w:rsid w:val="44E31F33"/>
    <w:rsid w:val="44E874A0"/>
    <w:rsid w:val="44F66216"/>
    <w:rsid w:val="44FD0BF4"/>
    <w:rsid w:val="44FD6A2B"/>
    <w:rsid w:val="45466360"/>
    <w:rsid w:val="45703560"/>
    <w:rsid w:val="457271A8"/>
    <w:rsid w:val="45900DC9"/>
    <w:rsid w:val="461A16DC"/>
    <w:rsid w:val="465F5BCD"/>
    <w:rsid w:val="46C668DC"/>
    <w:rsid w:val="46DF22B5"/>
    <w:rsid w:val="46F1747A"/>
    <w:rsid w:val="477B7EBC"/>
    <w:rsid w:val="47A07C46"/>
    <w:rsid w:val="47AF2B0E"/>
    <w:rsid w:val="490E22CB"/>
    <w:rsid w:val="495E2231"/>
    <w:rsid w:val="49EF1948"/>
    <w:rsid w:val="49F80EB1"/>
    <w:rsid w:val="4A2C04F0"/>
    <w:rsid w:val="4A5D72DD"/>
    <w:rsid w:val="4A8775E1"/>
    <w:rsid w:val="4AB229CA"/>
    <w:rsid w:val="4ABA3ED7"/>
    <w:rsid w:val="4ABA7F1F"/>
    <w:rsid w:val="4B0C301E"/>
    <w:rsid w:val="4B223032"/>
    <w:rsid w:val="4B2D2738"/>
    <w:rsid w:val="4B2F2A5E"/>
    <w:rsid w:val="4B571AF4"/>
    <w:rsid w:val="4B5F794E"/>
    <w:rsid w:val="4B6F4282"/>
    <w:rsid w:val="4C664026"/>
    <w:rsid w:val="4CC637C6"/>
    <w:rsid w:val="4CCB228F"/>
    <w:rsid w:val="4CDB635A"/>
    <w:rsid w:val="4CF604AB"/>
    <w:rsid w:val="4D721E7D"/>
    <w:rsid w:val="4DB42C03"/>
    <w:rsid w:val="4DE04E44"/>
    <w:rsid w:val="4E083EC3"/>
    <w:rsid w:val="4E107462"/>
    <w:rsid w:val="4E1B6912"/>
    <w:rsid w:val="4E314E28"/>
    <w:rsid w:val="4E500E27"/>
    <w:rsid w:val="4ECF554F"/>
    <w:rsid w:val="4EF00B11"/>
    <w:rsid w:val="4F1F4D80"/>
    <w:rsid w:val="4FB741B9"/>
    <w:rsid w:val="4FD84416"/>
    <w:rsid w:val="4FDF4B4F"/>
    <w:rsid w:val="502920E0"/>
    <w:rsid w:val="502C4B67"/>
    <w:rsid w:val="5052508D"/>
    <w:rsid w:val="507E3957"/>
    <w:rsid w:val="50874224"/>
    <w:rsid w:val="509E4D6B"/>
    <w:rsid w:val="50A63507"/>
    <w:rsid w:val="50C201D7"/>
    <w:rsid w:val="50F153E5"/>
    <w:rsid w:val="51204273"/>
    <w:rsid w:val="51967C7C"/>
    <w:rsid w:val="519953FA"/>
    <w:rsid w:val="5232271A"/>
    <w:rsid w:val="52696D8E"/>
    <w:rsid w:val="52777920"/>
    <w:rsid w:val="52BF01EA"/>
    <w:rsid w:val="52E5779F"/>
    <w:rsid w:val="530B519F"/>
    <w:rsid w:val="53726D31"/>
    <w:rsid w:val="53C06CAE"/>
    <w:rsid w:val="53F01906"/>
    <w:rsid w:val="53FE2C59"/>
    <w:rsid w:val="54353740"/>
    <w:rsid w:val="548B148A"/>
    <w:rsid w:val="54B31AAF"/>
    <w:rsid w:val="54B37CC7"/>
    <w:rsid w:val="54F27D17"/>
    <w:rsid w:val="551A1BA4"/>
    <w:rsid w:val="553F4061"/>
    <w:rsid w:val="559831E7"/>
    <w:rsid w:val="55A53A64"/>
    <w:rsid w:val="55F50D2B"/>
    <w:rsid w:val="563F246F"/>
    <w:rsid w:val="56A31228"/>
    <w:rsid w:val="56C463A9"/>
    <w:rsid w:val="56D60D13"/>
    <w:rsid w:val="57273214"/>
    <w:rsid w:val="57481B2D"/>
    <w:rsid w:val="57673809"/>
    <w:rsid w:val="579C4462"/>
    <w:rsid w:val="57E3677B"/>
    <w:rsid w:val="58122B98"/>
    <w:rsid w:val="58A542FA"/>
    <w:rsid w:val="591250A2"/>
    <w:rsid w:val="59305031"/>
    <w:rsid w:val="59BF72E2"/>
    <w:rsid w:val="5A252437"/>
    <w:rsid w:val="5A3F1FDD"/>
    <w:rsid w:val="5A575EFD"/>
    <w:rsid w:val="5A9E0C1F"/>
    <w:rsid w:val="5AA00C89"/>
    <w:rsid w:val="5AA37F83"/>
    <w:rsid w:val="5AAD1C4F"/>
    <w:rsid w:val="5B2443A6"/>
    <w:rsid w:val="5BC54FF8"/>
    <w:rsid w:val="5BDB440B"/>
    <w:rsid w:val="5BDF7757"/>
    <w:rsid w:val="5BFE4928"/>
    <w:rsid w:val="5C116A12"/>
    <w:rsid w:val="5C1B23FB"/>
    <w:rsid w:val="5C572681"/>
    <w:rsid w:val="5CA851EC"/>
    <w:rsid w:val="5D77704B"/>
    <w:rsid w:val="5DC9591E"/>
    <w:rsid w:val="5DE12C9D"/>
    <w:rsid w:val="5DEA37BA"/>
    <w:rsid w:val="5E7D401C"/>
    <w:rsid w:val="5F495B87"/>
    <w:rsid w:val="5F76686B"/>
    <w:rsid w:val="5FCE05FC"/>
    <w:rsid w:val="602B15C7"/>
    <w:rsid w:val="602F1054"/>
    <w:rsid w:val="604361A5"/>
    <w:rsid w:val="60A502FF"/>
    <w:rsid w:val="60A66EB8"/>
    <w:rsid w:val="60D32139"/>
    <w:rsid w:val="61AB302F"/>
    <w:rsid w:val="61B55F6C"/>
    <w:rsid w:val="61F1416F"/>
    <w:rsid w:val="620D5E65"/>
    <w:rsid w:val="62476C60"/>
    <w:rsid w:val="6282342A"/>
    <w:rsid w:val="62CF1B57"/>
    <w:rsid w:val="62EA51ED"/>
    <w:rsid w:val="63566C02"/>
    <w:rsid w:val="643930FA"/>
    <w:rsid w:val="64A94DA2"/>
    <w:rsid w:val="6508750E"/>
    <w:rsid w:val="65696BB3"/>
    <w:rsid w:val="656B5A67"/>
    <w:rsid w:val="65CC0810"/>
    <w:rsid w:val="65E83C15"/>
    <w:rsid w:val="65FE6792"/>
    <w:rsid w:val="66541840"/>
    <w:rsid w:val="66572A7C"/>
    <w:rsid w:val="66EB29DB"/>
    <w:rsid w:val="674066AA"/>
    <w:rsid w:val="676F4665"/>
    <w:rsid w:val="67783210"/>
    <w:rsid w:val="677D72A0"/>
    <w:rsid w:val="67CC1B7B"/>
    <w:rsid w:val="67CE04C7"/>
    <w:rsid w:val="67E44873"/>
    <w:rsid w:val="67E9789A"/>
    <w:rsid w:val="682215A5"/>
    <w:rsid w:val="68B41297"/>
    <w:rsid w:val="69834335"/>
    <w:rsid w:val="69B03713"/>
    <w:rsid w:val="69B57594"/>
    <w:rsid w:val="69E341B1"/>
    <w:rsid w:val="6A0F6EDD"/>
    <w:rsid w:val="6A4433B2"/>
    <w:rsid w:val="6A900061"/>
    <w:rsid w:val="6A972E15"/>
    <w:rsid w:val="6AF76D42"/>
    <w:rsid w:val="6AFF7C81"/>
    <w:rsid w:val="6B17008C"/>
    <w:rsid w:val="6B203DD7"/>
    <w:rsid w:val="6B29378B"/>
    <w:rsid w:val="6B436CB3"/>
    <w:rsid w:val="6B665034"/>
    <w:rsid w:val="6B757728"/>
    <w:rsid w:val="6B9116B8"/>
    <w:rsid w:val="6BF05058"/>
    <w:rsid w:val="6BF96754"/>
    <w:rsid w:val="6C1B2373"/>
    <w:rsid w:val="6C704E09"/>
    <w:rsid w:val="6C910C89"/>
    <w:rsid w:val="6D284E28"/>
    <w:rsid w:val="6DB8171D"/>
    <w:rsid w:val="6E113C01"/>
    <w:rsid w:val="6E7D73F3"/>
    <w:rsid w:val="6EBB3A27"/>
    <w:rsid w:val="6EE71EFC"/>
    <w:rsid w:val="6F562322"/>
    <w:rsid w:val="6FB85279"/>
    <w:rsid w:val="6FCA5E0C"/>
    <w:rsid w:val="707D33EE"/>
    <w:rsid w:val="71110170"/>
    <w:rsid w:val="71241D52"/>
    <w:rsid w:val="713C198D"/>
    <w:rsid w:val="72423160"/>
    <w:rsid w:val="72951944"/>
    <w:rsid w:val="734368E4"/>
    <w:rsid w:val="735A72DE"/>
    <w:rsid w:val="736416FC"/>
    <w:rsid w:val="73641F45"/>
    <w:rsid w:val="73894D0D"/>
    <w:rsid w:val="74190FBA"/>
    <w:rsid w:val="743A24EF"/>
    <w:rsid w:val="74425429"/>
    <w:rsid w:val="74657DB8"/>
    <w:rsid w:val="746F688C"/>
    <w:rsid w:val="75065C92"/>
    <w:rsid w:val="75076808"/>
    <w:rsid w:val="75176DB3"/>
    <w:rsid w:val="75261B9C"/>
    <w:rsid w:val="75292008"/>
    <w:rsid w:val="75776289"/>
    <w:rsid w:val="75EF7A48"/>
    <w:rsid w:val="75F865BE"/>
    <w:rsid w:val="7610712D"/>
    <w:rsid w:val="766D2940"/>
    <w:rsid w:val="768862D5"/>
    <w:rsid w:val="76F403AC"/>
    <w:rsid w:val="77463B96"/>
    <w:rsid w:val="77906C3E"/>
    <w:rsid w:val="779C124C"/>
    <w:rsid w:val="77CB0CE6"/>
    <w:rsid w:val="78506C0E"/>
    <w:rsid w:val="78B87365"/>
    <w:rsid w:val="78EF55A7"/>
    <w:rsid w:val="792F67CE"/>
    <w:rsid w:val="794F28E5"/>
    <w:rsid w:val="79664EBD"/>
    <w:rsid w:val="7A23786C"/>
    <w:rsid w:val="7A587BA5"/>
    <w:rsid w:val="7A9A3575"/>
    <w:rsid w:val="7AC433F3"/>
    <w:rsid w:val="7AE70539"/>
    <w:rsid w:val="7AF02CD2"/>
    <w:rsid w:val="7B0762C8"/>
    <w:rsid w:val="7B697406"/>
    <w:rsid w:val="7BF337F6"/>
    <w:rsid w:val="7C075C94"/>
    <w:rsid w:val="7C850AF1"/>
    <w:rsid w:val="7D4263FE"/>
    <w:rsid w:val="7D547D99"/>
    <w:rsid w:val="7D7C1519"/>
    <w:rsid w:val="7D9179E4"/>
    <w:rsid w:val="7DA0351F"/>
    <w:rsid w:val="7E09361D"/>
    <w:rsid w:val="7E1A5308"/>
    <w:rsid w:val="7E445F9B"/>
    <w:rsid w:val="7E4B37CF"/>
    <w:rsid w:val="7EC13ACC"/>
    <w:rsid w:val="7F426DF5"/>
    <w:rsid w:val="7F463BA6"/>
    <w:rsid w:val="7FE26DBF"/>
    <w:rsid w:val="7FEA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5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20">
    <w:name w:val="Default Paragraph Font"/>
    <w:semiHidden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unhideWhenUsed/>
    <w:qFormat/>
    <w:uiPriority w:val="39"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7">
    <w:name w:val="Document Map"/>
    <w:basedOn w:val="1"/>
    <w:link w:val="31"/>
    <w:unhideWhenUsed/>
    <w:qFormat/>
    <w:uiPriority w:val="99"/>
    <w:rPr>
      <w:rFonts w:ascii="宋体"/>
      <w:sz w:val="18"/>
      <w:szCs w:val="18"/>
    </w:rPr>
  </w:style>
  <w:style w:type="paragraph" w:styleId="8">
    <w:name w:val="toc 5"/>
    <w:basedOn w:val="1"/>
    <w:next w:val="1"/>
    <w:unhideWhenUsed/>
    <w:qFormat/>
    <w:uiPriority w:val="39"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9">
    <w:name w:val="toc 3"/>
    <w:basedOn w:val="1"/>
    <w:next w:val="1"/>
    <w:unhideWhenUsed/>
    <w:qFormat/>
    <w:uiPriority w:val="39"/>
    <w:pPr>
      <w:ind w:left="42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10">
    <w:name w:val="toc 8"/>
    <w:basedOn w:val="1"/>
    <w:next w:val="1"/>
    <w:unhideWhenUsed/>
    <w:qFormat/>
    <w:uiPriority w:val="39"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11">
    <w:name w:val="Balloon Text"/>
    <w:basedOn w:val="1"/>
    <w:link w:val="30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15">
    <w:name w:val="toc 4"/>
    <w:basedOn w:val="1"/>
    <w:next w:val="1"/>
    <w:unhideWhenUsed/>
    <w:qFormat/>
    <w:uiPriority w:val="39"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16">
    <w:name w:val="toc 6"/>
    <w:basedOn w:val="1"/>
    <w:next w:val="1"/>
    <w:unhideWhenUsed/>
    <w:qFormat/>
    <w:uiPriority w:val="39"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17">
    <w:name w:val="toc 2"/>
    <w:basedOn w:val="1"/>
    <w:next w:val="1"/>
    <w:unhideWhenUsed/>
    <w:qFormat/>
    <w:uiPriority w:val="39"/>
    <w:pPr>
      <w:ind w:left="21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18">
    <w:name w:val="toc 9"/>
    <w:basedOn w:val="1"/>
    <w:next w:val="1"/>
    <w:unhideWhenUsed/>
    <w:qFormat/>
    <w:uiPriority w:val="39"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character" w:styleId="21">
    <w:name w:val="Hyperlink"/>
    <w:unhideWhenUsed/>
    <w:qFormat/>
    <w:uiPriority w:val="99"/>
    <w:rPr>
      <w:color w:val="0000FF"/>
      <w:u w:val="single"/>
    </w:rPr>
  </w:style>
  <w:style w:type="character" w:customStyle="1" w:styleId="22">
    <w:name w:val="页眉 Char"/>
    <w:basedOn w:val="20"/>
    <w:link w:val="13"/>
    <w:qFormat/>
    <w:uiPriority w:val="99"/>
    <w:rPr>
      <w:sz w:val="18"/>
      <w:szCs w:val="18"/>
    </w:rPr>
  </w:style>
  <w:style w:type="character" w:customStyle="1" w:styleId="23">
    <w:name w:val="页脚 Char"/>
    <w:basedOn w:val="20"/>
    <w:link w:val="12"/>
    <w:qFormat/>
    <w:uiPriority w:val="99"/>
    <w:rPr>
      <w:sz w:val="18"/>
      <w:szCs w:val="18"/>
    </w:rPr>
  </w:style>
  <w:style w:type="character" w:customStyle="1" w:styleId="24">
    <w:name w:val="标题 1 Char"/>
    <w:basedOn w:val="20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6">
    <w:name w:val="标题 3 Char"/>
    <w:basedOn w:val="20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customStyle="1" w:styleId="27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8">
    <w:name w:val="标准文本"/>
    <w:basedOn w:val="1"/>
    <w:link w:val="29"/>
    <w:qFormat/>
    <w:uiPriority w:val="0"/>
    <w:pPr>
      <w:spacing w:line="276" w:lineRule="auto"/>
      <w:ind w:firstLine="519" w:firstLineChars="236"/>
    </w:pPr>
    <w:rPr>
      <w:rFonts w:ascii="微软雅黑 Light" w:hAnsi="微软雅黑 Light" w:eastAsia="微软雅黑 Light" w:cs="宋体"/>
      <w:sz w:val="24"/>
      <w:szCs w:val="21"/>
    </w:rPr>
  </w:style>
  <w:style w:type="character" w:customStyle="1" w:styleId="29">
    <w:name w:val="标准文本 Char"/>
    <w:link w:val="28"/>
    <w:qFormat/>
    <w:uiPriority w:val="0"/>
    <w:rPr>
      <w:rFonts w:ascii="微软雅黑 Light" w:hAnsi="微软雅黑 Light" w:eastAsia="微软雅黑 Light" w:cs="宋体"/>
      <w:sz w:val="24"/>
      <w:szCs w:val="21"/>
    </w:rPr>
  </w:style>
  <w:style w:type="character" w:customStyle="1" w:styleId="30">
    <w:name w:val="批注框文本 Char"/>
    <w:basedOn w:val="20"/>
    <w:link w:val="11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1">
    <w:name w:val="文档结构图 Char"/>
    <w:basedOn w:val="20"/>
    <w:link w:val="7"/>
    <w:semiHidden/>
    <w:qFormat/>
    <w:uiPriority w:val="99"/>
    <w:rPr>
      <w:rFonts w:ascii="宋体" w:hAnsi="Calibri" w:eastAsia="宋体" w:cs="Times New Roman"/>
      <w:sz w:val="18"/>
      <w:szCs w:val="18"/>
    </w:rPr>
  </w:style>
  <w:style w:type="paragraph" w:customStyle="1" w:styleId="32">
    <w:name w:val="列出段落1"/>
    <w:basedOn w:val="1"/>
    <w:qFormat/>
    <w:uiPriority w:val="34"/>
    <w:pPr>
      <w:ind w:firstLine="420" w:firstLineChars="200"/>
    </w:pPr>
  </w:style>
  <w:style w:type="paragraph" w:customStyle="1" w:styleId="33">
    <w:name w:val="无间距1"/>
    <w:link w:val="34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4">
    <w:name w:val="无间隔 字符"/>
    <w:basedOn w:val="20"/>
    <w:link w:val="33"/>
    <w:qFormat/>
    <w:uiPriority w:val="1"/>
    <w:rPr>
      <w:kern w:val="0"/>
      <w:sz w:val="22"/>
    </w:rPr>
  </w:style>
  <w:style w:type="character" w:customStyle="1" w:styleId="35">
    <w:name w:val="标题 4 Char"/>
    <w:basedOn w:val="20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6">
    <w:name w:val="@他1"/>
    <w:basedOn w:val="20"/>
    <w:unhideWhenUsed/>
    <w:qFormat/>
    <w:uiPriority w:val="99"/>
    <w:rPr>
      <w:color w:val="2B579A"/>
      <w:shd w:val="clear" w:color="auto" w:fill="E6E6E6"/>
    </w:rPr>
  </w:style>
  <w:style w:type="paragraph" w:customStyle="1" w:styleId="37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38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39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customXml" Target="../customXml/item3.xml"/><Relationship Id="rId28" Type="http://schemas.openxmlformats.org/officeDocument/2006/relationships/customXml" Target="../customXml/item2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ewsPrint">
      <a:fillStyleLst>
        <a:solidFill>
          <a:schemeClr val="phClr"/>
        </a:solidFill>
        <a:gradFill rotWithShape="1">
          <a:gsLst>
            <a:gs pos="0">
              <a:schemeClr val="phClr">
                <a:tint val="37000"/>
                <a:hueMod val="100000"/>
                <a:satMod val="200000"/>
                <a:lumMod val="88000"/>
              </a:schemeClr>
            </a:gs>
            <a:gs pos="100000">
              <a:schemeClr val="phClr">
                <a:tint val="53000"/>
                <a:shade val="100000"/>
                <a:hueMod val="100000"/>
                <a:satMod val="350000"/>
                <a:lumMod val="79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83000"/>
                <a:shade val="100000"/>
                <a:alpha val="100000"/>
                <a:hueMod val="100000"/>
                <a:satMod val="220000"/>
                <a:lumMod val="90000"/>
              </a:schemeClr>
            </a:gs>
            <a:gs pos="76000">
              <a:schemeClr val="phClr">
                <a:shade val="100000"/>
              </a:schemeClr>
            </a:gs>
            <a:gs pos="100000">
              <a:schemeClr val="phClr">
                <a:shade val="93000"/>
                <a:alpha val="100000"/>
                <a:satMod val="100000"/>
                <a:lumMod val="93000"/>
              </a:schemeClr>
            </a:gs>
          </a:gsLst>
          <a:path path="circle">
            <a:fillToRect l="15000" t="15000" r="100000" b="100000"/>
          </a:path>
        </a:gradFill>
      </a:fillStyleLst>
      <a:lnStyleLst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12700" dir="528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brightRoom" dir="tl"/>
          </a:scene3d>
          <a:sp3d contourW="12700">
            <a:bevelT w="31750" h="127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overPageProperties xmlns="http://schemas.microsoft.com/office/2006/coverPageProps">
  <PublishDate>2017-04-21T00:00:00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211913-E851-4A71-BB20-301794C1DCE2}">
  <ds:schemaRefs/>
</ds:datastoreItem>
</file>

<file path=customXml/itemProps3.xml><?xml version="1.0" encoding="utf-8"?>
<ds:datastoreItem xmlns:ds="http://schemas.openxmlformats.org/officeDocument/2006/customXml" ds:itemID="{55AF091B-3C7A-41E3-B477-F2FDAA23CF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267</Words>
  <Characters>1525</Characters>
  <Lines>12</Lines>
  <Paragraphs>3</Paragraphs>
  <TotalTime>32</TotalTime>
  <ScaleCrop>false</ScaleCrop>
  <LinksUpToDate>false</LinksUpToDate>
  <CharactersWithSpaces>1789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2021-03-08T02:28:00Z</dcterms:created>
  <dc:creator>苏州大学教务部</dc:creator>
  <cp:lastModifiedBy>Administrator</cp:lastModifiedBy>
  <cp:lastPrinted>2017-05-02T02:47:00Z</cp:lastPrinted>
  <dcterms:modified xsi:type="dcterms:W3CDTF">2021-03-10T06:36:28Z</dcterms:modified>
  <dc:subject>教师使用手册</dc:subject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B54B32053DF84E0C82F199563AF45BE4</vt:lpwstr>
  </property>
</Properties>
</file>